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39117"/>
    <w:p w14:paraId="2BCED132">
      <w:pPr>
        <w:spacing w:line="540" w:lineRule="exact"/>
        <w:jc w:val="center"/>
        <w:rPr>
          <w:rFonts w:eastAsia="华文中宋"/>
          <w:b/>
          <w:kern w:val="0"/>
          <w:sz w:val="52"/>
          <w:szCs w:val="52"/>
        </w:rPr>
      </w:pPr>
    </w:p>
    <w:p w14:paraId="7030D6FF">
      <w:pPr>
        <w:spacing w:line="540" w:lineRule="exact"/>
        <w:rPr>
          <w:rFonts w:eastAsia="华文中宋"/>
          <w:b/>
          <w:kern w:val="0"/>
          <w:sz w:val="52"/>
          <w:szCs w:val="52"/>
        </w:rPr>
      </w:pPr>
    </w:p>
    <w:p w14:paraId="5ED508BC">
      <w:pPr>
        <w:spacing w:line="540" w:lineRule="exact"/>
        <w:jc w:val="center"/>
        <w:rPr>
          <w:rFonts w:eastAsia="华文中宋"/>
          <w:b/>
          <w:kern w:val="0"/>
          <w:sz w:val="52"/>
          <w:szCs w:val="52"/>
        </w:rPr>
      </w:pPr>
    </w:p>
    <w:p w14:paraId="0F8E59F0">
      <w:pPr>
        <w:spacing w:line="540" w:lineRule="exact"/>
        <w:jc w:val="center"/>
        <w:rPr>
          <w:rFonts w:eastAsia="华文中宋"/>
          <w:b/>
          <w:kern w:val="0"/>
          <w:sz w:val="52"/>
          <w:szCs w:val="52"/>
        </w:rPr>
      </w:pPr>
    </w:p>
    <w:p w14:paraId="6C11CB03">
      <w:pPr>
        <w:spacing w:line="540" w:lineRule="exact"/>
        <w:jc w:val="center"/>
        <w:rPr>
          <w:rFonts w:eastAsia="方正小标宋_GBK"/>
          <w:kern w:val="0"/>
          <w:sz w:val="48"/>
          <w:szCs w:val="48"/>
        </w:rPr>
      </w:pPr>
      <w:r>
        <w:rPr>
          <w:rFonts w:eastAsia="方正小标宋_GBK"/>
          <w:kern w:val="0"/>
          <w:sz w:val="48"/>
          <w:szCs w:val="48"/>
        </w:rPr>
        <w:t>2024年城乡义务教育补助经费(公用经费)项目支出绩效评价报告</w:t>
      </w:r>
    </w:p>
    <w:p w14:paraId="52EDB33F">
      <w:pPr>
        <w:spacing w:line="540" w:lineRule="exact"/>
        <w:jc w:val="center"/>
        <w:rPr>
          <w:rFonts w:eastAsia="华文中宋"/>
          <w:b/>
          <w:kern w:val="0"/>
          <w:sz w:val="52"/>
          <w:szCs w:val="52"/>
        </w:rPr>
      </w:pPr>
    </w:p>
    <w:p w14:paraId="51C6E80E">
      <w:pPr>
        <w:spacing w:line="540" w:lineRule="exact"/>
        <w:jc w:val="center"/>
        <w:rPr>
          <w:rFonts w:eastAsia="仿宋_GB2312"/>
          <w:kern w:val="0"/>
          <w:sz w:val="36"/>
          <w:szCs w:val="36"/>
        </w:rPr>
      </w:pPr>
      <w:r>
        <w:rPr>
          <w:rFonts w:eastAsia="仿宋_GB2312"/>
          <w:kern w:val="0"/>
          <w:sz w:val="36"/>
          <w:szCs w:val="36"/>
        </w:rPr>
        <w:t>（2024年度）</w:t>
      </w:r>
    </w:p>
    <w:p w14:paraId="588FE8C7">
      <w:pPr>
        <w:spacing w:line="540" w:lineRule="exact"/>
        <w:jc w:val="center"/>
        <w:rPr>
          <w:rFonts w:eastAsia="仿宋_GB2312"/>
          <w:kern w:val="0"/>
          <w:sz w:val="30"/>
          <w:szCs w:val="30"/>
        </w:rPr>
      </w:pPr>
    </w:p>
    <w:p w14:paraId="02DAE913">
      <w:pPr>
        <w:spacing w:line="540" w:lineRule="exact"/>
        <w:jc w:val="center"/>
        <w:rPr>
          <w:rFonts w:eastAsia="仿宋_GB2312"/>
          <w:kern w:val="0"/>
          <w:sz w:val="30"/>
          <w:szCs w:val="30"/>
        </w:rPr>
      </w:pPr>
    </w:p>
    <w:p w14:paraId="2CCE8638">
      <w:pPr>
        <w:spacing w:line="540" w:lineRule="exact"/>
        <w:jc w:val="center"/>
        <w:rPr>
          <w:rFonts w:eastAsia="仿宋_GB2312"/>
          <w:kern w:val="0"/>
          <w:sz w:val="30"/>
          <w:szCs w:val="30"/>
        </w:rPr>
      </w:pPr>
    </w:p>
    <w:p w14:paraId="792032A6">
      <w:pPr>
        <w:pStyle w:val="9"/>
        <w:rPr>
          <w:rFonts w:ascii="Times New Roman" w:hAnsi="Times New Roman"/>
        </w:rPr>
      </w:pPr>
    </w:p>
    <w:p w14:paraId="486E5A95">
      <w:pPr>
        <w:spacing w:line="540" w:lineRule="exact"/>
        <w:jc w:val="center"/>
        <w:rPr>
          <w:rFonts w:eastAsia="仿宋_GB2312"/>
          <w:kern w:val="0"/>
          <w:sz w:val="30"/>
          <w:szCs w:val="30"/>
        </w:rPr>
      </w:pPr>
    </w:p>
    <w:p w14:paraId="40C479F8">
      <w:pPr>
        <w:spacing w:line="540" w:lineRule="exact"/>
        <w:rPr>
          <w:rFonts w:eastAsia="仿宋_GB2312"/>
          <w:kern w:val="0"/>
          <w:sz w:val="30"/>
          <w:szCs w:val="30"/>
        </w:rPr>
      </w:pPr>
    </w:p>
    <w:p w14:paraId="33354F8E">
      <w:pPr>
        <w:spacing w:line="700" w:lineRule="exact"/>
        <w:jc w:val="left"/>
        <w:rPr>
          <w:rFonts w:eastAsia="仿宋_GB2312"/>
          <w:kern w:val="0"/>
          <w:sz w:val="36"/>
          <w:szCs w:val="36"/>
        </w:rPr>
      </w:pPr>
      <w:r>
        <w:rPr>
          <w:rFonts w:eastAsia="仿宋_GB2312"/>
          <w:kern w:val="0"/>
          <w:sz w:val="36"/>
          <w:szCs w:val="36"/>
        </w:rPr>
        <w:t>项目名称：2024年城乡义务教育补助经费(公用经费)</w:t>
      </w:r>
    </w:p>
    <w:p w14:paraId="6197E52B">
      <w:pPr>
        <w:spacing w:line="240" w:lineRule="auto"/>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裕民县哈拉布拉乡中心学校</w:t>
      </w:r>
    </w:p>
    <w:p w14:paraId="02F97213">
      <w:pPr>
        <w:spacing w:line="700" w:lineRule="exact"/>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裕民县教育和体育局</w:t>
      </w:r>
      <w:bookmarkStart w:id="1" w:name="_GoBack"/>
      <w:bookmarkEnd w:id="1"/>
    </w:p>
    <w:p w14:paraId="7F7D4CCB">
      <w:pPr>
        <w:spacing w:line="700" w:lineRule="exact"/>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木沙尔·列比</w:t>
      </w:r>
    </w:p>
    <w:p w14:paraId="0D5ABF8C">
      <w:pPr>
        <w:spacing w:line="700" w:lineRule="exact"/>
        <w:jc w:val="left"/>
        <w:rPr>
          <w:rFonts w:hint="eastAsia"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21</w:t>
      </w:r>
      <w:r>
        <w:rPr>
          <w:rFonts w:eastAsia="仿宋_GB2312"/>
          <w:kern w:val="0"/>
          <w:sz w:val="36"/>
          <w:szCs w:val="36"/>
        </w:rPr>
        <w:t>日</w:t>
      </w:r>
    </w:p>
    <w:p w14:paraId="11530526">
      <w:pPr>
        <w:tabs>
          <w:tab w:val="left" w:pos="611"/>
        </w:tabs>
        <w:jc w:val="left"/>
        <w:rPr>
          <w:rFonts w:hint="eastAsia"/>
        </w:rPr>
        <w:sectPr>
          <w:pgSz w:w="11906" w:h="16838"/>
          <w:pgMar w:top="1440" w:right="1558" w:bottom="1440" w:left="1800" w:header="851" w:footer="992" w:gutter="0"/>
          <w:cols w:space="425" w:num="1"/>
          <w:docGrid w:type="lines" w:linePitch="312" w:charSpace="0"/>
        </w:sectPr>
      </w:pPr>
    </w:p>
    <w:p w14:paraId="0E7271AF">
      <w:pPr>
        <w:spacing w:line="560" w:lineRule="exact"/>
        <w:ind w:firstLine="640" w:firstLineChars="200"/>
        <w:rPr>
          <w:rFonts w:eastAsia="黑体"/>
          <w:bCs/>
          <w:sz w:val="32"/>
          <w:szCs w:val="32"/>
        </w:rPr>
      </w:pPr>
      <w:r>
        <w:rPr>
          <w:rFonts w:eastAsia="黑体"/>
          <w:bCs/>
          <w:sz w:val="32"/>
          <w:szCs w:val="32"/>
        </w:rPr>
        <w:t>一、基本情况</w:t>
      </w:r>
    </w:p>
    <w:p w14:paraId="5B594763">
      <w:pPr>
        <w:spacing w:line="560" w:lineRule="exact"/>
        <w:ind w:firstLine="711" w:firstLineChars="200"/>
        <w:rPr>
          <w:rFonts w:eastAsia="楷体"/>
          <w:b/>
          <w:bCs/>
          <w:color w:val="000000"/>
          <w:spacing w:val="17"/>
          <w:kern w:val="28"/>
          <w:sz w:val="32"/>
          <w:szCs w:val="32"/>
        </w:rPr>
      </w:pPr>
      <w:r>
        <w:rPr>
          <w:rFonts w:eastAsia="楷体"/>
          <w:b/>
          <w:bCs/>
          <w:color w:val="000000"/>
          <w:spacing w:val="17"/>
          <w:kern w:val="28"/>
          <w:sz w:val="32"/>
          <w:szCs w:val="32"/>
        </w:rPr>
        <w:t>（一）项目概况</w:t>
      </w:r>
    </w:p>
    <w:p w14:paraId="306EDD92">
      <w:pPr>
        <w:spacing w:line="560" w:lineRule="exact"/>
        <w:ind w:firstLine="643" w:firstLineChars="200"/>
        <w:rPr>
          <w:rFonts w:eastAsia="仿宋_GB2312"/>
          <w:b/>
          <w:bCs/>
          <w:sz w:val="32"/>
          <w:szCs w:val="32"/>
        </w:rPr>
      </w:pPr>
      <w:r>
        <w:rPr>
          <w:rFonts w:eastAsia="仿宋_GB2312"/>
          <w:b/>
          <w:bCs/>
          <w:sz w:val="32"/>
          <w:szCs w:val="32"/>
        </w:rPr>
        <w:t>1.项目背景</w:t>
      </w:r>
    </w:p>
    <w:p w14:paraId="191BAAEB">
      <w:pPr>
        <w:ind w:firstLine="640" w:firstLineChars="200"/>
        <w:rPr>
          <w:rFonts w:eastAsia="仿宋_GB2312"/>
          <w:sz w:val="32"/>
          <w:szCs w:val="32"/>
        </w:rPr>
      </w:pPr>
      <w:r>
        <w:rPr>
          <w:rFonts w:hint="eastAsia" w:eastAsia="仿宋_GB2312"/>
          <w:sz w:val="32"/>
          <w:szCs w:val="32"/>
        </w:rPr>
        <w:t>项目按照塔城地区2024-2025学年度中心校基础教育统计小学在校学生188人，人均公用经费720元、人均取暖费180元标准下达预算。其中中央资金占比80%、自治区资金占比6%、县级配套资金占比14%。2025年依据塔地财教[2023]108号文件，塔地财教[2023]106号文件、裕财教[2024]1号文件。其中：中央资金14.01万元，自治区资金1.15万元、县级资金2.45万元下达项目资金合计17.61万元。其中 1、义务教育保障机制公用经费14.23万元,2、义务教育保障机制公用经费取暖费3.38万元。</w:t>
      </w:r>
    </w:p>
    <w:p w14:paraId="4213FFB5">
      <w:pPr>
        <w:pStyle w:val="9"/>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5FB6A764">
      <w:pPr>
        <w:ind w:firstLine="640" w:firstLineChars="200"/>
        <w:rPr>
          <w:rFonts w:eastAsia="仿宋_GB2312"/>
          <w:sz w:val="32"/>
          <w:szCs w:val="32"/>
        </w:rPr>
      </w:pPr>
      <w:r>
        <w:rPr>
          <w:rFonts w:hint="eastAsia" w:eastAsia="仿宋_GB2312"/>
          <w:sz w:val="32"/>
          <w:szCs w:val="32"/>
        </w:rPr>
        <w:t>共有义务教育阶段学生180人。 2024年度城乡义务教育保障机制公用经费补助标准720元/生/年，城乡义务教育取暖费补助标准180元/生/年。 我单位城乡义务教育保障机制公用经费项目资金主要用于义务教育阶段办公费、印刷费、邮电费、取暖费、电费、维修费、培训费、专用材料费。2024年城乡义务教育保障机制经费年初预算17.61万元。其中 1、义务教育保障机制公用经费14.23万元,2、义务教育保障机制公用经费取暖费3.38万元。</w:t>
      </w:r>
    </w:p>
    <w:p w14:paraId="3A3F4C41">
      <w:pPr>
        <w:ind w:firstLine="640" w:firstLineChars="200"/>
        <w:rPr>
          <w:rFonts w:eastAsia="仿宋_GB2312"/>
          <w:sz w:val="32"/>
          <w:szCs w:val="32"/>
        </w:rPr>
      </w:pPr>
      <w:r>
        <w:rPr>
          <w:rFonts w:eastAsia="仿宋_GB2312"/>
          <w:sz w:val="32"/>
          <w:szCs w:val="32"/>
        </w:rPr>
        <w:t>项目实施情况：</w:t>
      </w:r>
      <w:r>
        <w:rPr>
          <w:rFonts w:hint="eastAsia" w:eastAsia="仿宋_GB2312"/>
          <w:sz w:val="32"/>
          <w:szCs w:val="32"/>
        </w:rPr>
        <w:t>2024年财政按照义务教育阶段学生180人。 城乡义务教育保障机制公用经费补助标准720元/生/年，城乡义务教育取暖费补助标准180元/生/年下达预算。2024年 我单位城乡义务教育保障机制公用经费项目资金主要用于义务教育阶段办公费支出4.99万元、印刷费支出1.43万元、邮电费支出1.11万元、取暖支出费3.38万元、电费支出0.7万元、维修费支出5.47万元、培训费支出0.81万元、专用材料费。城乡义务教育保障机制经费年初预算17.61万元。其中 1、义务教育保障机制公用经费14.23万元,2、义务教育保障机制公用经费取暖费3.38万元。</w:t>
      </w:r>
    </w:p>
    <w:p w14:paraId="3DD74FCB">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046F1BE8">
      <w:pPr>
        <w:spacing w:line="600" w:lineRule="exact"/>
        <w:ind w:firstLine="640" w:firstLineChars="200"/>
        <w:outlineLvl w:val="0"/>
        <w:rPr>
          <w:rFonts w:eastAsia="仿宋_GB2312"/>
          <w:sz w:val="32"/>
          <w:szCs w:val="32"/>
        </w:rPr>
      </w:pPr>
      <w:r>
        <w:rPr>
          <w:rFonts w:eastAsia="仿宋_GB2312"/>
          <w:sz w:val="32"/>
          <w:szCs w:val="32"/>
        </w:rPr>
        <w:t>（1）资金投入情况</w:t>
      </w:r>
    </w:p>
    <w:p w14:paraId="4DC6F228">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17.61</w:t>
      </w:r>
      <w:r>
        <w:rPr>
          <w:rFonts w:eastAsia="仿宋_GB2312"/>
          <w:sz w:val="32"/>
          <w:szCs w:val="32"/>
        </w:rPr>
        <w:t>万元，</w:t>
      </w:r>
      <w:r>
        <w:rPr>
          <w:rFonts w:hint="eastAsia" w:eastAsia="仿宋_GB2312"/>
          <w:sz w:val="32"/>
          <w:szCs w:val="32"/>
        </w:rPr>
        <w:t>年中追减预算0.09万元，</w:t>
      </w:r>
      <w:r>
        <w:rPr>
          <w:rFonts w:eastAsia="仿宋_GB2312"/>
          <w:sz w:val="32"/>
          <w:szCs w:val="32"/>
        </w:rPr>
        <w:t>全年预算数</w:t>
      </w:r>
      <w:r>
        <w:rPr>
          <w:rFonts w:hint="eastAsia" w:eastAsia="仿宋_GB2312"/>
          <w:sz w:val="32"/>
          <w:szCs w:val="32"/>
        </w:rPr>
        <w:t>17.52</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14:paraId="6DA13F10">
      <w:pPr>
        <w:spacing w:line="600" w:lineRule="exact"/>
        <w:ind w:firstLine="640" w:firstLineChars="200"/>
        <w:outlineLvl w:val="0"/>
        <w:rPr>
          <w:rFonts w:eastAsia="仿宋_GB2312"/>
          <w:sz w:val="32"/>
          <w:szCs w:val="32"/>
        </w:rPr>
      </w:pPr>
      <w:r>
        <w:rPr>
          <w:rFonts w:eastAsia="仿宋_GB2312"/>
          <w:sz w:val="32"/>
          <w:szCs w:val="32"/>
        </w:rPr>
        <w:t>（2）资金使用情况</w:t>
      </w:r>
    </w:p>
    <w:p w14:paraId="318CA561">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17.61</w:t>
      </w:r>
      <w:r>
        <w:rPr>
          <w:rFonts w:eastAsia="仿宋_GB2312"/>
          <w:sz w:val="32"/>
          <w:szCs w:val="32"/>
        </w:rPr>
        <w:t>万元，全年预算数</w:t>
      </w:r>
      <w:r>
        <w:rPr>
          <w:rFonts w:hint="eastAsia" w:eastAsia="仿宋_GB2312"/>
          <w:sz w:val="32"/>
          <w:szCs w:val="32"/>
        </w:rPr>
        <w:t>17.52</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17.52</w:t>
      </w:r>
      <w:r>
        <w:rPr>
          <w:rFonts w:eastAsia="仿宋_GB2312"/>
          <w:sz w:val="32"/>
          <w:szCs w:val="32"/>
        </w:rPr>
        <w:t>万元，预算执行率为</w:t>
      </w:r>
      <w:r>
        <w:rPr>
          <w:rFonts w:hint="eastAsia" w:eastAsia="仿宋_GB2312"/>
          <w:sz w:val="32"/>
          <w:szCs w:val="32"/>
        </w:rPr>
        <w:t>100</w:t>
      </w:r>
      <w:r>
        <w:rPr>
          <w:rFonts w:eastAsia="仿宋_GB2312"/>
          <w:sz w:val="32"/>
          <w:szCs w:val="32"/>
        </w:rPr>
        <w:t>%，主要用于：</w:t>
      </w:r>
      <w:r>
        <w:rPr>
          <w:rFonts w:hint="eastAsia" w:eastAsia="仿宋_GB2312"/>
          <w:sz w:val="32"/>
          <w:szCs w:val="32"/>
        </w:rPr>
        <w:t>于义务教育阶段办公费、印刷费、邮电费、取暖费、电费、维修费、培训费、专用材料费</w:t>
      </w:r>
      <w:r>
        <w:rPr>
          <w:rFonts w:eastAsia="仿宋_GB2312"/>
          <w:sz w:val="32"/>
          <w:szCs w:val="32"/>
        </w:rPr>
        <w:t>。</w:t>
      </w:r>
    </w:p>
    <w:p w14:paraId="00EC5C99">
      <w:pPr>
        <w:spacing w:line="560" w:lineRule="exact"/>
        <w:ind w:firstLine="711" w:firstLineChars="200"/>
        <w:rPr>
          <w:rFonts w:eastAsia="楷体"/>
          <w:b/>
          <w:bCs/>
          <w:color w:val="000000"/>
          <w:spacing w:val="17"/>
          <w:kern w:val="28"/>
          <w:sz w:val="32"/>
          <w:szCs w:val="32"/>
        </w:rPr>
      </w:pPr>
      <w:r>
        <w:rPr>
          <w:rFonts w:eastAsia="楷体"/>
          <w:b/>
          <w:bCs/>
          <w:color w:val="000000"/>
          <w:spacing w:val="17"/>
          <w:kern w:val="28"/>
          <w:sz w:val="32"/>
          <w:szCs w:val="32"/>
        </w:rPr>
        <w:t>（二）项目绩效目标</w:t>
      </w:r>
    </w:p>
    <w:p w14:paraId="6C6954A1">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2C418264">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hint="eastAsia" w:ascii="Times New Roman" w:hAnsi="Times New Roman" w:eastAsia="仿宋_GB2312"/>
          <w:b w:val="0"/>
          <w:bCs w:val="0"/>
          <w:kern w:val="2"/>
        </w:rPr>
        <w:t>2024年城乡义务教育保障机制经费，项目主要用于我校188多名学生的公用经费和取暖费。城乡义务教育保障机制经费项目资金优化教育结构、完成教育教学活动和其他日常工作任务等方面的支出。保障学校冬季正常取暖，为师生提供温暖的工作和学习环境。</w:t>
      </w:r>
    </w:p>
    <w:p w14:paraId="508B8B3A">
      <w:pPr>
        <w:pStyle w:val="9"/>
        <w:widowControl w:val="0"/>
        <w:spacing w:before="0" w:after="0" w:line="240" w:lineRule="auto"/>
        <w:ind w:firstLine="640" w:firstLineChars="200"/>
        <w:jc w:val="both"/>
        <w:outlineLvl w:val="9"/>
        <w:rPr>
          <w:rFonts w:ascii="Times New Roman" w:hAnsi="Times New Roman" w:eastAsia="仿宋_GB2312"/>
          <w:b w:val="0"/>
          <w:bCs w:val="0"/>
          <w:kern w:val="2"/>
        </w:rPr>
      </w:pPr>
      <w:r>
        <w:rPr>
          <w:rFonts w:hint="eastAsia" w:ascii="Times New Roman" w:hAnsi="Times New Roman" w:eastAsia="仿宋_GB2312"/>
          <w:b w:val="0"/>
          <w:bCs w:val="0"/>
          <w:kern w:val="2"/>
        </w:rPr>
        <w:t>2.</w:t>
      </w:r>
      <w:r>
        <w:rPr>
          <w:rFonts w:ascii="Times New Roman" w:hAnsi="Times New Roman" w:eastAsia="仿宋_GB2312"/>
          <w:b w:val="0"/>
          <w:bCs w:val="0"/>
          <w:kern w:val="2"/>
        </w:rPr>
        <w:t>阶段性目标</w:t>
      </w:r>
    </w:p>
    <w:p w14:paraId="3F3E1A47">
      <w:pPr>
        <w:ind w:firstLine="640" w:firstLineChars="200"/>
        <w:rPr>
          <w:rFonts w:eastAsia="仿宋_GB2312"/>
          <w:sz w:val="32"/>
          <w:szCs w:val="32"/>
        </w:rPr>
      </w:pPr>
      <w:r>
        <w:rPr>
          <w:rFonts w:eastAsia="仿宋_GB2312"/>
          <w:sz w:val="32"/>
          <w:szCs w:val="32"/>
        </w:rPr>
        <w:t>保障基本运转</w:t>
      </w:r>
      <w:r>
        <w:rPr>
          <w:rFonts w:hint="eastAsia" w:eastAsia="仿宋_GB2312"/>
          <w:sz w:val="32"/>
          <w:szCs w:val="32"/>
        </w:rPr>
        <w:t>。</w:t>
      </w:r>
      <w:r>
        <w:rPr>
          <w:rFonts w:eastAsia="仿宋_GB2312"/>
          <w:sz w:val="32"/>
          <w:szCs w:val="32"/>
        </w:rPr>
        <w:t>确保学校日常办公、教学等基本活动顺利开展。在办公经费方面，合理安排办公用品采购，严格控制办公耗材浪费，保证打印机、电脑等办公设备正常运行所需的维护和耗材费用，确保办公效率不受影响。在水电费方面，加强水电使用管理，杜绝长明灯、长流水现象，合理控制水电费支出，确保学校教学、生活区域的水电供应稳定。​</w:t>
      </w:r>
    </w:p>
    <w:p w14:paraId="764A8E48">
      <w:pPr>
        <w:ind w:firstLine="640" w:firstLineChars="200"/>
        <w:rPr>
          <w:rFonts w:eastAsia="仿宋_GB2312"/>
          <w:sz w:val="32"/>
          <w:szCs w:val="32"/>
        </w:rPr>
      </w:pPr>
      <w:r>
        <w:rPr>
          <w:rFonts w:eastAsia="仿宋_GB2312"/>
          <w:sz w:val="32"/>
          <w:szCs w:val="32"/>
        </w:rPr>
        <w:t>维护校园环境</w:t>
      </w:r>
      <w:r>
        <w:rPr>
          <w:rFonts w:hint="eastAsia" w:eastAsia="仿宋_GB2312"/>
          <w:sz w:val="32"/>
          <w:szCs w:val="32"/>
        </w:rPr>
        <w:t>。</w:t>
      </w:r>
      <w:r>
        <w:rPr>
          <w:rFonts w:eastAsia="仿宋_GB2312"/>
          <w:sz w:val="32"/>
          <w:szCs w:val="32"/>
        </w:rPr>
        <w:t>对校园进行基本的维护和保养。安排经费用于校园绿化的简单维护，保持校园环境整洁美观。对建筑的门窗、玻璃、墙面等进行简单维修，确保师生的学习和工作环境安全舒适。​</w:t>
      </w:r>
    </w:p>
    <w:p w14:paraId="48D2060A">
      <w:pPr>
        <w:ind w:firstLine="640" w:firstLineChars="200"/>
        <w:rPr>
          <w:rFonts w:eastAsia="仿宋_GB2312"/>
          <w:sz w:val="32"/>
          <w:szCs w:val="32"/>
        </w:rPr>
      </w:pPr>
      <w:r>
        <w:rPr>
          <w:rFonts w:eastAsia="仿宋_GB2312"/>
          <w:sz w:val="32"/>
          <w:szCs w:val="32"/>
        </w:rPr>
        <w:t>优化教学条件</w:t>
      </w:r>
      <w:r>
        <w:rPr>
          <w:rFonts w:hint="eastAsia" w:eastAsia="仿宋_GB2312"/>
          <w:sz w:val="32"/>
          <w:szCs w:val="32"/>
        </w:rPr>
        <w:t>。</w:t>
      </w:r>
      <w:r>
        <w:rPr>
          <w:rFonts w:eastAsia="仿宋_GB2312"/>
          <w:sz w:val="32"/>
          <w:szCs w:val="32"/>
        </w:rPr>
        <w:t>进一步提升教学硬件设施水平。在设备购置方面，根据教学需求，有计划地购置一批先进的教学设备，如多媒体教学设备、实验仪器设备等，改善教学手段，提高教学质量。同时，为教师办公室配备必要的办公设备，如打印机、扫描仪等，提高教师办公效率。​</w:t>
      </w:r>
    </w:p>
    <w:p w14:paraId="69B6B04E">
      <w:pPr>
        <w:ind w:firstLine="640" w:firstLineChars="200"/>
        <w:rPr>
          <w:rFonts w:eastAsia="仿宋_GB2312"/>
          <w:sz w:val="32"/>
          <w:szCs w:val="32"/>
        </w:rPr>
      </w:pPr>
      <w:r>
        <w:rPr>
          <w:rFonts w:eastAsia="仿宋_GB2312"/>
          <w:sz w:val="32"/>
          <w:szCs w:val="32"/>
        </w:rPr>
        <w:t>加强教师队伍建设</w:t>
      </w:r>
      <w:r>
        <w:rPr>
          <w:rFonts w:hint="eastAsia" w:eastAsia="仿宋_GB2312"/>
          <w:sz w:val="32"/>
          <w:szCs w:val="32"/>
        </w:rPr>
        <w:t>。</w:t>
      </w:r>
      <w:r>
        <w:rPr>
          <w:rFonts w:eastAsia="仿宋_GB2312"/>
          <w:sz w:val="32"/>
          <w:szCs w:val="32"/>
        </w:rPr>
        <w:t>加大对教师培训的投入。安排专项经费用于教师参加校外培训、学术交流、继续教育等活动，鼓励教师不断提升专业素养和教学能力。邀请教育专家、名师来校开展讲座、培训等活动，为教师提供学习和交流的平台。此外，设立教师教学奖励基金，对在教学工作中表现优秀的教师进行奖励，激发教师的教学积极性和创造性。​</w:t>
      </w:r>
    </w:p>
    <w:p w14:paraId="2C708BFF">
      <w:pPr>
        <w:ind w:firstLine="640" w:firstLineChars="200"/>
        <w:rPr>
          <w:rFonts w:eastAsia="仿宋_GB2312"/>
          <w:sz w:val="32"/>
          <w:szCs w:val="32"/>
        </w:rPr>
      </w:pPr>
      <w:r>
        <w:rPr>
          <w:rFonts w:eastAsia="仿宋_GB2312"/>
          <w:sz w:val="32"/>
          <w:szCs w:val="32"/>
        </w:rPr>
        <w:t>完善校园基础设施</w:t>
      </w:r>
      <w:r>
        <w:rPr>
          <w:rFonts w:hint="eastAsia" w:eastAsia="仿宋_GB2312"/>
          <w:sz w:val="32"/>
          <w:szCs w:val="32"/>
        </w:rPr>
        <w:t>。</w:t>
      </w:r>
      <w:r>
        <w:rPr>
          <w:rFonts w:eastAsia="仿宋_GB2312"/>
          <w:sz w:val="32"/>
          <w:szCs w:val="32"/>
        </w:rPr>
        <w:t>对校园基础设施进行逐步完善。完成校园道路的修补和硬化，改善校园交通条件。对操场、运动场地等进行维护和改造，为学生提供更好的体育活动场所。同时，加强校园安全设施建设，如安装监控设备、更新消防器材等，提高校园安全保障水平。​</w:t>
      </w:r>
    </w:p>
    <w:p w14:paraId="624C3737">
      <w:pPr>
        <w:ind w:firstLine="640" w:firstLineChars="200"/>
        <w:rPr>
          <w:rFonts w:eastAsia="仿宋_GB2312"/>
          <w:sz w:val="32"/>
          <w:szCs w:val="32"/>
        </w:rPr>
      </w:pPr>
      <w:r>
        <w:rPr>
          <w:rFonts w:eastAsia="仿宋_GB2312"/>
          <w:sz w:val="32"/>
          <w:szCs w:val="32"/>
        </w:rPr>
        <w:t>打造特色校园文化</w:t>
      </w:r>
      <w:r>
        <w:rPr>
          <w:rFonts w:hint="eastAsia" w:eastAsia="仿宋_GB2312"/>
          <w:sz w:val="32"/>
          <w:szCs w:val="32"/>
        </w:rPr>
        <w:t>。</w:t>
      </w:r>
      <w:r>
        <w:rPr>
          <w:rFonts w:eastAsia="仿宋_GB2312"/>
          <w:sz w:val="32"/>
          <w:szCs w:val="32"/>
        </w:rPr>
        <w:t>支持校园文化建设和特色教育发展。安排经费用于开展各类校园文化活动，丰富学生的课余生活，培养学生的兴趣爱好和特长。加强学校特色学科建设，如</w:t>
      </w:r>
      <w:r>
        <w:rPr>
          <w:rFonts w:hint="eastAsia" w:eastAsia="仿宋_GB2312"/>
          <w:sz w:val="32"/>
          <w:szCs w:val="32"/>
        </w:rPr>
        <w:t>打造全国特色足球特色学校</w:t>
      </w:r>
      <w:r>
        <w:rPr>
          <w:rFonts w:eastAsia="仿宋_GB2312"/>
          <w:sz w:val="32"/>
          <w:szCs w:val="32"/>
        </w:rPr>
        <w:t>项目，购置相关的设备和器材，提升学校特色教育水平，打造具有本校特色的校园文化品牌。​</w:t>
      </w:r>
    </w:p>
    <w:p w14:paraId="0C86C6C4">
      <w:pPr>
        <w:ind w:firstLine="640" w:firstLineChars="200"/>
        <w:rPr>
          <w:rFonts w:eastAsia="仿宋_GB2312"/>
          <w:sz w:val="32"/>
          <w:szCs w:val="32"/>
        </w:rPr>
      </w:pPr>
      <w:r>
        <w:rPr>
          <w:rFonts w:eastAsia="仿宋_GB2312"/>
          <w:sz w:val="32"/>
          <w:szCs w:val="32"/>
        </w:rPr>
        <w:t>建立可持续发展机制</w:t>
      </w:r>
      <w:r>
        <w:rPr>
          <w:rFonts w:hint="eastAsia" w:eastAsia="仿宋_GB2312"/>
          <w:sz w:val="32"/>
          <w:szCs w:val="32"/>
        </w:rPr>
        <w:t>。</w:t>
      </w:r>
      <w:r>
        <w:rPr>
          <w:rFonts w:eastAsia="仿宋_GB2312"/>
          <w:sz w:val="32"/>
          <w:szCs w:val="32"/>
        </w:rPr>
        <w:t>建立健全公用经费管理长效机制。加强经费预算管理，科学合理地编制经费预算，提高经费使用的计划性和针对性。加强经费使用监督，建立健全经费使用审批制度和绩效评价制度，确保经费使用规范、合理、高效。同时，根据学校发展规划和实际需求，及时调整经费使用方向和重点，实现公用经费的可持续利用，为学校的长期发展提供有力保障。​</w:t>
      </w:r>
    </w:p>
    <w:p w14:paraId="70C558DA">
      <w:pPr>
        <w:spacing w:line="560" w:lineRule="exact"/>
        <w:ind w:firstLine="640" w:firstLineChars="200"/>
        <w:rPr>
          <w:rFonts w:eastAsia="黑体"/>
          <w:bCs/>
          <w:sz w:val="32"/>
          <w:szCs w:val="32"/>
        </w:rPr>
      </w:pPr>
      <w:r>
        <w:rPr>
          <w:rFonts w:eastAsia="黑体"/>
          <w:bCs/>
          <w:sz w:val="32"/>
          <w:szCs w:val="32"/>
        </w:rPr>
        <w:t>二、绩效评价工作开展情况</w:t>
      </w:r>
    </w:p>
    <w:p w14:paraId="6A151E7A">
      <w:pPr>
        <w:spacing w:line="560" w:lineRule="exact"/>
        <w:ind w:firstLine="711" w:firstLineChars="200"/>
        <w:rPr>
          <w:rFonts w:eastAsia="楷体"/>
          <w:b/>
          <w:bCs/>
          <w:color w:val="000000"/>
          <w:spacing w:val="17"/>
          <w:kern w:val="28"/>
          <w:sz w:val="32"/>
          <w:szCs w:val="32"/>
        </w:rPr>
      </w:pPr>
      <w:r>
        <w:rPr>
          <w:rFonts w:eastAsia="楷体"/>
          <w:b/>
          <w:bCs/>
          <w:color w:val="000000"/>
          <w:spacing w:val="17"/>
          <w:kern w:val="28"/>
          <w:sz w:val="32"/>
          <w:szCs w:val="32"/>
        </w:rPr>
        <w:t>（一）绩效评价目的、对象和范围</w:t>
      </w:r>
    </w:p>
    <w:p w14:paraId="215FCED3">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1.绩效评价完整性</w:t>
      </w:r>
    </w:p>
    <w:p w14:paraId="312E48DB">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B2B222D">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在评价指标体系的构建上，充分考虑了项目的性质、目标以及预期成果，选取了具有代表性和可衡量性的关键指标，涵盖了社会效益多个维度，力求全方位反映项目的绩效状况。同时，对于每个指标的评价标准和数据来源均进行了明确说明，确保评价结果的客观性和可追溯性。</w:t>
      </w:r>
    </w:p>
    <w:p w14:paraId="0CE92DDC">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DEE5ED9">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FE68637">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F01EBB1">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2.绩效评价的目的</w:t>
      </w:r>
    </w:p>
    <w:p w14:paraId="610CB190">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（1）评估项目实施效果</w:t>
      </w:r>
    </w:p>
    <w:p w14:paraId="6368ED7D">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通过对项目预算执行情况及各项绩效目标达成程度的系统性分析，全面、客观地评估项目在预定周期内的实施效果，社会效益等多维度指标，为项目后续的改进与优化提供科学依据。</w:t>
      </w:r>
    </w:p>
    <w:p w14:paraId="45F2BAED">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（2）提升资源利用效率</w:t>
      </w:r>
    </w:p>
    <w:p w14:paraId="6197F1AC">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7C0E19B">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（3）强化项目管理责任</w:t>
      </w:r>
    </w:p>
    <w:p w14:paraId="6FAB6D2F">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2891DF4">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（4）为决策提供支持</w:t>
      </w:r>
    </w:p>
    <w:p w14:paraId="12E26683">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CB5A4F8">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（5）促进项目持续改进</w:t>
      </w:r>
    </w:p>
    <w:p w14:paraId="7238DC10">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55D35A2">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D1A2340">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3.绩效评价的对象</w:t>
      </w:r>
    </w:p>
    <w:p w14:paraId="03F341E9">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本项目预算绩效评价报告的评价对象是及其预算执行情况。该项目由</w:t>
      </w:r>
      <w:r>
        <w:rPr>
          <w:rFonts w:hint="eastAsia" w:ascii="Times New Roman" w:hAnsi="Times New Roman" w:eastAsia="仿宋_GB2312"/>
          <w:b w:val="0"/>
          <w:bCs w:val="0"/>
          <w:kern w:val="2"/>
        </w:rPr>
        <w:t>2024年城乡义务教育保障机制经费</w:t>
      </w:r>
      <w:r>
        <w:rPr>
          <w:rFonts w:ascii="Times New Roman" w:hAnsi="Times New Roman" w:eastAsia="仿宋_GB2312"/>
          <w:b w:val="0"/>
          <w:bCs w:val="0"/>
          <w:kern w:val="2"/>
        </w:rPr>
        <w:t>负责实施，旨在项目主要用于我校188多名学生的公用经费和取暖费。城乡义务教育保障机制经费项目资金优化教育结构、完成教育教学活动和其他日常工作任务等方面的支出。保障学校冬季正常取暖，为师生提供温暖的工作和学习环境。项目预算涵盖从</w:t>
      </w:r>
      <w:r>
        <w:rPr>
          <w:rFonts w:hint="eastAsia" w:ascii="Times New Roman" w:hAnsi="Times New Roman" w:eastAsia="仿宋_GB2312"/>
          <w:b w:val="0"/>
          <w:bCs w:val="0"/>
          <w:kern w:val="2"/>
        </w:rPr>
        <w:t>2024年1月1日</w:t>
      </w:r>
      <w:r>
        <w:rPr>
          <w:rFonts w:ascii="Times New Roman" w:hAnsi="Times New Roman" w:eastAsia="仿宋_GB2312"/>
          <w:b w:val="0"/>
          <w:bCs w:val="0"/>
          <w:kern w:val="2"/>
        </w:rPr>
        <w:t>至</w:t>
      </w:r>
      <w:r>
        <w:rPr>
          <w:rFonts w:hint="eastAsia" w:ascii="Times New Roman" w:hAnsi="Times New Roman" w:eastAsia="仿宋_GB2312"/>
          <w:b w:val="0"/>
          <w:bCs w:val="0"/>
          <w:kern w:val="2"/>
        </w:rPr>
        <w:t>2025年12月25日</w:t>
      </w:r>
      <w:r>
        <w:rPr>
          <w:rFonts w:ascii="Times New Roman" w:hAnsi="Times New Roman" w:eastAsia="仿宋_GB2312"/>
          <w:b w:val="0"/>
          <w:bCs w:val="0"/>
          <w:kern w:val="2"/>
        </w:rPr>
        <w:t>的全部资金投入与支出，涉及资金总额为</w:t>
      </w:r>
      <w:r>
        <w:rPr>
          <w:rFonts w:hint="eastAsia" w:ascii="Times New Roman" w:hAnsi="Times New Roman" w:eastAsia="仿宋_GB2312"/>
          <w:b w:val="0"/>
          <w:bCs w:val="0"/>
          <w:kern w:val="2"/>
        </w:rPr>
        <w:t>17.52</w:t>
      </w:r>
      <w:r>
        <w:rPr>
          <w:rFonts w:ascii="Times New Roman" w:hAnsi="Times New Roman" w:eastAsia="仿宋_GB2312"/>
          <w:b w:val="0"/>
          <w:bCs w:val="0"/>
          <w:kern w:val="2"/>
        </w:rPr>
        <w:t>万元。</w:t>
      </w:r>
    </w:p>
    <w:p w14:paraId="4E5F5904">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4.绩效评价的范围</w:t>
      </w:r>
    </w:p>
    <w:p w14:paraId="3BE6D8B3">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本项目预算绩效评价报告的评价范围广泛而全面，涵盖了从项目立项至评价时点期间的所有关键预算活动和财务流程。具体而言，评价范围包括但不限于以下几个方面：</w:t>
      </w:r>
    </w:p>
    <w:p w14:paraId="0EA8AF66">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hint="eastAsia" w:ascii="Times New Roman" w:hAnsi="Times New Roman" w:eastAsia="仿宋_GB2312"/>
          <w:b w:val="0"/>
          <w:bCs w:val="0"/>
          <w:kern w:val="2"/>
        </w:rPr>
        <w:t>(1)</w:t>
      </w:r>
      <w:r>
        <w:rPr>
          <w:rFonts w:ascii="Times New Roman" w:hAnsi="Times New Roman" w:eastAsia="仿宋_GB2312"/>
          <w:b w:val="0"/>
          <w:bCs w:val="0"/>
          <w:kern w:val="2"/>
        </w:rPr>
        <w:t>项目预算编制与执行：全面审视项目预算的编制依据、合理性、科学性以及实际执行情况，包括预算调整的原因和效果。</w:t>
      </w:r>
    </w:p>
    <w:p w14:paraId="711D7429">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hint="eastAsia" w:ascii="Times New Roman" w:hAnsi="Times New Roman" w:eastAsia="仿宋_GB2312"/>
          <w:b w:val="0"/>
          <w:bCs w:val="0"/>
          <w:kern w:val="2"/>
        </w:rPr>
        <w:t>(2)</w:t>
      </w:r>
      <w:r>
        <w:rPr>
          <w:rFonts w:ascii="Times New Roman" w:hAnsi="Times New Roman" w:eastAsia="仿宋_GB2312"/>
          <w:b w:val="0"/>
          <w:bCs w:val="0"/>
          <w:kern w:val="2"/>
        </w:rPr>
        <w:t>资金管理：深入分析项目资金的分配、使用和监管情况，确保资金使用的合规性、高效性和透明度。</w:t>
      </w:r>
    </w:p>
    <w:p w14:paraId="4449D8D6">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hint="eastAsia" w:ascii="Times New Roman" w:hAnsi="Times New Roman" w:eastAsia="仿宋_GB2312"/>
          <w:b w:val="0"/>
          <w:bCs w:val="0"/>
          <w:kern w:val="2"/>
        </w:rPr>
        <w:t>(3)</w:t>
      </w:r>
      <w:r>
        <w:rPr>
          <w:rFonts w:ascii="Times New Roman" w:hAnsi="Times New Roman" w:eastAsia="仿宋_GB2312"/>
          <w:b w:val="0"/>
          <w:bCs w:val="0"/>
          <w:kern w:val="2"/>
        </w:rPr>
        <w:t>项目实施进度与产出：评估项目是否按照既定计划顺利推进，各项任务是否按时完成，以及项目产出的数量、质量和时效性是否符合预期。</w:t>
      </w:r>
    </w:p>
    <w:p w14:paraId="28AC744A">
      <w:pPr>
        <w:pStyle w:val="9"/>
        <w:widowControl w:val="0"/>
        <w:spacing w:before="0" w:after="0" w:line="560" w:lineRule="exact"/>
        <w:ind w:firstLine="640" w:firstLineChars="200"/>
        <w:jc w:val="both"/>
        <w:outlineLvl w:val="9"/>
        <w:rPr>
          <w:rFonts w:ascii="Times New Roman" w:hAnsi="Times New Roman" w:eastAsia="仿宋_GB2312"/>
          <w:b w:val="0"/>
          <w:bCs w:val="0"/>
          <w:kern w:val="2"/>
        </w:rPr>
      </w:pPr>
      <w:r>
        <w:rPr>
          <w:rFonts w:hint="eastAsia" w:ascii="Times New Roman" w:hAnsi="Times New Roman" w:eastAsia="仿宋_GB2312"/>
          <w:b w:val="0"/>
          <w:bCs w:val="0"/>
          <w:kern w:val="2"/>
        </w:rPr>
        <w:t>(4)</w:t>
      </w:r>
      <w:r>
        <w:rPr>
          <w:rFonts w:ascii="Times New Roman" w:hAnsi="Times New Roman" w:eastAsia="仿宋_GB2312"/>
          <w:b w:val="0"/>
          <w:bCs w:val="0"/>
          <w:kern w:val="2"/>
        </w:rPr>
        <w:t>社会、</w:t>
      </w:r>
      <w:r>
        <w:rPr>
          <w:rFonts w:hint="eastAsia" w:ascii="Times New Roman" w:hAnsi="Times New Roman" w:eastAsia="仿宋_GB2312"/>
          <w:b w:val="0"/>
          <w:bCs w:val="0"/>
          <w:kern w:val="2"/>
        </w:rPr>
        <w:t>生态</w:t>
      </w:r>
      <w:r>
        <w:rPr>
          <w:rFonts w:ascii="Times New Roman" w:hAnsi="Times New Roman" w:eastAsia="仿宋_GB2312"/>
          <w:b w:val="0"/>
          <w:bCs w:val="0"/>
          <w:kern w:val="2"/>
        </w:rPr>
        <w:t>等影响：考察项目对社会、</w:t>
      </w:r>
      <w:r>
        <w:rPr>
          <w:rFonts w:hint="eastAsia" w:ascii="Times New Roman" w:hAnsi="Times New Roman" w:eastAsia="仿宋_GB2312"/>
          <w:b w:val="0"/>
          <w:bCs w:val="0"/>
          <w:kern w:val="2"/>
        </w:rPr>
        <w:t>生态</w:t>
      </w:r>
      <w:r>
        <w:rPr>
          <w:rFonts w:ascii="Times New Roman" w:hAnsi="Times New Roman" w:eastAsia="仿宋_GB2312"/>
          <w:b w:val="0"/>
          <w:bCs w:val="0"/>
          <w:kern w:val="2"/>
        </w:rPr>
        <w:t>、经济等方面的综合影响。</w:t>
      </w:r>
    </w:p>
    <w:p w14:paraId="5691F50C">
      <w:pPr>
        <w:spacing w:line="560" w:lineRule="exact"/>
        <w:ind w:firstLine="643" w:firstLineChars="200"/>
        <w:rPr>
          <w:rFonts w:eastAsia="楷体"/>
          <w:b/>
          <w:bCs/>
          <w:color w:val="000000"/>
          <w:spacing w:val="17"/>
          <w:kern w:val="28"/>
          <w:sz w:val="32"/>
          <w:szCs w:val="32"/>
        </w:rPr>
      </w:pPr>
      <w:r>
        <w:rPr>
          <w:rFonts w:hint="eastAsia" w:ascii="楷体_GB2312" w:hAnsi="楷体_GB2312" w:eastAsia="楷体_GB2312" w:cs="楷体_GB2312"/>
          <w:b/>
          <w:bCs/>
          <w:sz w:val="32"/>
          <w:szCs w:val="32"/>
        </w:rPr>
        <w:t>（</w:t>
      </w:r>
      <w:r>
        <w:rPr>
          <w:rFonts w:hint="eastAsia" w:eastAsia="楷体"/>
          <w:b/>
          <w:bCs/>
          <w:color w:val="000000"/>
          <w:spacing w:val="17"/>
          <w:kern w:val="28"/>
          <w:sz w:val="32"/>
          <w:szCs w:val="32"/>
        </w:rPr>
        <w:t>二）绩效评价原则、评价指标体系（详情见表1）、评</w:t>
      </w:r>
      <w:r>
        <w:rPr>
          <w:rFonts w:eastAsia="楷体"/>
          <w:b/>
          <w:bCs/>
          <w:color w:val="000000"/>
          <w:spacing w:val="17"/>
          <w:kern w:val="28"/>
          <w:sz w:val="32"/>
          <w:szCs w:val="32"/>
        </w:rPr>
        <w:t>价方法、评价标准。</w:t>
      </w:r>
    </w:p>
    <w:p w14:paraId="11486CEA">
      <w:pPr>
        <w:spacing w:line="560" w:lineRule="exact"/>
        <w:ind w:firstLine="960" w:firstLineChars="300"/>
        <w:rPr>
          <w:rFonts w:eastAsia="仿宋_GB2312"/>
          <w:sz w:val="32"/>
          <w:szCs w:val="32"/>
        </w:rPr>
      </w:pPr>
      <w:r>
        <w:rPr>
          <w:rFonts w:eastAsia="仿宋_GB2312"/>
          <w:sz w:val="32"/>
          <w:szCs w:val="32"/>
        </w:rPr>
        <w:t>1.绩效评价原则</w:t>
      </w:r>
    </w:p>
    <w:p w14:paraId="57D6F2E8">
      <w:pPr>
        <w:spacing w:line="560" w:lineRule="exact"/>
        <w:ind w:firstLine="960" w:firstLineChars="300"/>
        <w:rPr>
          <w:rFonts w:eastAsia="仿宋_GB2312"/>
          <w:sz w:val="32"/>
          <w:szCs w:val="32"/>
        </w:rPr>
      </w:pPr>
      <w:r>
        <w:rPr>
          <w:rFonts w:eastAsia="仿宋_GB2312"/>
          <w:sz w:val="32"/>
          <w:szCs w:val="32"/>
        </w:rPr>
        <w:t>本次项目绩效评价遵循以下基本原则：</w:t>
      </w:r>
    </w:p>
    <w:p w14:paraId="0546CEBF">
      <w:pPr>
        <w:spacing w:line="560" w:lineRule="exact"/>
        <w:ind w:firstLine="640" w:firstLineChars="200"/>
        <w:rPr>
          <w:rFonts w:eastAsia="仿宋_GB2312"/>
          <w:sz w:val="32"/>
          <w:szCs w:val="32"/>
        </w:rPr>
      </w:pPr>
      <w:r>
        <w:rPr>
          <w:rFonts w:eastAsia="仿宋_GB2312"/>
          <w:sz w:val="32"/>
          <w:szCs w:val="32"/>
        </w:rPr>
        <w:t>（1）科学公正。绩效评价应当运用科学合理的方法，按照规范的程序，对项目绩效进行客观、公正的反映。</w:t>
      </w:r>
    </w:p>
    <w:p w14:paraId="0EBCFE61">
      <w:pPr>
        <w:spacing w:line="560" w:lineRule="exact"/>
        <w:ind w:firstLine="640" w:firstLineChars="200"/>
        <w:rPr>
          <w:rFonts w:eastAsia="仿宋_GB2312"/>
          <w:sz w:val="32"/>
          <w:szCs w:val="32"/>
        </w:rPr>
      </w:pPr>
      <w:r>
        <w:rPr>
          <w:rFonts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14:paraId="307C8F9A">
      <w:pPr>
        <w:spacing w:line="560" w:lineRule="exact"/>
        <w:ind w:firstLine="640" w:firstLineChars="200"/>
        <w:rPr>
          <w:rFonts w:eastAsia="仿宋_GB2312"/>
          <w:sz w:val="32"/>
          <w:szCs w:val="32"/>
        </w:rPr>
      </w:pPr>
      <w:r>
        <w:rPr>
          <w:rFonts w:eastAsia="仿宋_GB2312"/>
          <w:sz w:val="32"/>
          <w:szCs w:val="32"/>
        </w:rPr>
        <w:t>（3）激励约束。绩效评价结果应与预算安排、政策调整、改进管理实质性挂钩，体现奖优罚劣和激励相容导向，有效要安排、低效要压减、无效要问责。</w:t>
      </w:r>
    </w:p>
    <w:p w14:paraId="4B90C4A0">
      <w:pPr>
        <w:spacing w:line="560" w:lineRule="exact"/>
        <w:ind w:firstLine="640" w:firstLineChars="200"/>
        <w:rPr>
          <w:rFonts w:eastAsia="仿宋_GB2312"/>
          <w:sz w:val="32"/>
          <w:szCs w:val="32"/>
        </w:rPr>
      </w:pPr>
      <w:r>
        <w:rPr>
          <w:rFonts w:eastAsia="仿宋_GB2312"/>
          <w:sz w:val="32"/>
          <w:szCs w:val="32"/>
        </w:rPr>
        <w:t>（4）公开透明。绩效评价结果应依法依规公开，并自觉接受社会监督。</w:t>
      </w:r>
    </w:p>
    <w:p w14:paraId="029A4496">
      <w:pPr>
        <w:spacing w:line="560" w:lineRule="exact"/>
        <w:ind w:firstLine="640" w:firstLineChars="200"/>
        <w:rPr>
          <w:rFonts w:eastAsia="仿宋_GB2312"/>
          <w:sz w:val="32"/>
          <w:szCs w:val="32"/>
        </w:rPr>
      </w:pPr>
      <w:r>
        <w:rPr>
          <w:rFonts w:eastAsia="仿宋_GB2312"/>
          <w:sz w:val="32"/>
          <w:szCs w:val="32"/>
        </w:rPr>
        <w:t>2.评价指标体系</w:t>
      </w:r>
    </w:p>
    <w:p w14:paraId="269D17BB">
      <w:pPr>
        <w:spacing w:line="560" w:lineRule="exact"/>
        <w:ind w:firstLine="640" w:firstLineChars="20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14:paraId="5CA33E3C">
      <w:pPr>
        <w:spacing w:line="560" w:lineRule="exact"/>
        <w:ind w:firstLine="640" w:firstLineChars="200"/>
        <w:rPr>
          <w:rFonts w:eastAsia="仿宋_GB2312"/>
          <w:sz w:val="32"/>
          <w:szCs w:val="32"/>
        </w:rPr>
      </w:pPr>
      <w:r>
        <w:rPr>
          <w:rFonts w:eastAsia="仿宋_GB2312"/>
          <w:sz w:val="32"/>
          <w:szCs w:val="32"/>
        </w:rPr>
        <w:t>（1）确定评价指标</w:t>
      </w:r>
    </w:p>
    <w:p w14:paraId="168AF863">
      <w:pPr>
        <w:spacing w:line="560" w:lineRule="exact"/>
        <w:ind w:firstLine="640" w:firstLineChars="20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ECBC02A">
      <w:pPr>
        <w:spacing w:line="560" w:lineRule="exact"/>
        <w:ind w:firstLine="640" w:firstLineChars="200"/>
        <w:rPr>
          <w:rFonts w:eastAsia="仿宋_GB2312"/>
          <w:sz w:val="32"/>
          <w:szCs w:val="32"/>
        </w:rPr>
      </w:pPr>
      <w:r>
        <w:rPr>
          <w:rFonts w:eastAsia="仿宋_GB2312"/>
          <w:sz w:val="32"/>
          <w:szCs w:val="32"/>
        </w:rPr>
        <w:t>（2）确定权重</w:t>
      </w:r>
    </w:p>
    <w:p w14:paraId="56E63672">
      <w:pPr>
        <w:spacing w:line="560" w:lineRule="exact"/>
        <w:ind w:firstLine="640" w:firstLineChars="200"/>
        <w:rPr>
          <w:rFonts w:eastAsia="仿宋_GB2312"/>
          <w:sz w:val="32"/>
          <w:szCs w:val="32"/>
        </w:rPr>
      </w:pPr>
      <w:r>
        <w:rPr>
          <w:rFonts w:eastAsia="仿宋_GB2312"/>
          <w:sz w:val="32"/>
          <w:szCs w:val="32"/>
        </w:rPr>
        <w:t>确定各个指标相对于项目总体绩效的权重分值。在绩效评价指标体系中，项目决策权重为20分，项目过程权重为20分，项目产出权重为40分，项目效益权重为20分。</w:t>
      </w:r>
    </w:p>
    <w:p w14:paraId="427A3998">
      <w:pPr>
        <w:spacing w:line="560" w:lineRule="exact"/>
        <w:ind w:firstLine="640" w:firstLineChars="200"/>
        <w:rPr>
          <w:rFonts w:eastAsia="仿宋_GB2312"/>
          <w:sz w:val="32"/>
          <w:szCs w:val="32"/>
        </w:rPr>
      </w:pPr>
      <w:r>
        <w:rPr>
          <w:rFonts w:eastAsia="仿宋_GB2312"/>
          <w:sz w:val="32"/>
          <w:szCs w:val="32"/>
        </w:rPr>
        <w:t>（3）确定指标标准值</w:t>
      </w:r>
    </w:p>
    <w:p w14:paraId="689F02C5">
      <w:pPr>
        <w:spacing w:line="560" w:lineRule="exact"/>
        <w:ind w:firstLine="640" w:firstLineChars="20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14:paraId="732B7BF2">
      <w:pPr>
        <w:spacing w:line="560" w:lineRule="exact"/>
        <w:ind w:firstLine="640" w:firstLineChars="200"/>
        <w:rPr>
          <w:rFonts w:eastAsia="仿宋_GB2312"/>
          <w:sz w:val="32"/>
          <w:szCs w:val="32"/>
        </w:rPr>
      </w:pPr>
      <w:r>
        <w:rPr>
          <w:rFonts w:eastAsia="仿宋_GB2312"/>
          <w:sz w:val="32"/>
          <w:szCs w:val="32"/>
        </w:rPr>
        <w:t>绩效评价总分值100分，根据综合评分结果，</w:t>
      </w:r>
      <w:r>
        <w:rPr>
          <w:rFonts w:hint="eastAsia" w:eastAsia="仿宋_GB2312"/>
          <w:sz w:val="32"/>
          <w:szCs w:val="32"/>
        </w:rPr>
        <w:t>100</w:t>
      </w:r>
      <w:r>
        <w:rPr>
          <w:rFonts w:eastAsia="仿宋_GB2312"/>
          <w:sz w:val="32"/>
          <w:szCs w:val="32"/>
        </w:rPr>
        <w:t>为优</w:t>
      </w:r>
    </w:p>
    <w:p w14:paraId="205DF67D">
      <w:pPr>
        <w:spacing w:line="560" w:lineRule="exact"/>
        <w:ind w:firstLine="640" w:firstLineChars="200"/>
        <w:rPr>
          <w:rFonts w:eastAsia="仿宋_GB2312"/>
          <w:sz w:val="32"/>
          <w:szCs w:val="32"/>
        </w:rPr>
      </w:pPr>
      <w:r>
        <w:rPr>
          <w:rFonts w:eastAsia="仿宋_GB2312"/>
          <w:sz w:val="32"/>
          <w:szCs w:val="32"/>
        </w:rPr>
        <w:t>具体评价指标体系详情见附件1</w:t>
      </w:r>
    </w:p>
    <w:p w14:paraId="5F5AC3A9">
      <w:pPr>
        <w:spacing w:line="560" w:lineRule="exact"/>
        <w:ind w:firstLine="640" w:firstLineChars="200"/>
        <w:rPr>
          <w:rFonts w:eastAsia="仿宋_GB2312"/>
          <w:sz w:val="32"/>
          <w:szCs w:val="32"/>
        </w:rPr>
      </w:pPr>
      <w:r>
        <w:rPr>
          <w:rFonts w:eastAsia="仿宋_GB2312"/>
          <w:sz w:val="32"/>
          <w:szCs w:val="32"/>
        </w:rPr>
        <w:t>3.绩效评价方法</w:t>
      </w:r>
    </w:p>
    <w:p w14:paraId="7E902DF3">
      <w:pPr>
        <w:spacing w:line="560" w:lineRule="exact"/>
        <w:ind w:firstLine="640" w:firstLineChars="200"/>
        <w:rPr>
          <w:rFonts w:eastAsia="仿宋_GB2312"/>
          <w:sz w:val="32"/>
          <w:szCs w:val="32"/>
        </w:rPr>
      </w:pPr>
      <w:r>
        <w:rPr>
          <w:rFonts w:eastAsia="仿宋_GB2312"/>
          <w:sz w:val="32"/>
          <w:szCs w:val="32"/>
        </w:rPr>
        <w:t>绩效评价从项目决策、项目过程、项目产出、项目效益四个维度进行评价。评价对象为项目目标实施情况，评价核心为资金的支出完成情况和项目的产出效益。</w:t>
      </w:r>
    </w:p>
    <w:p w14:paraId="407BF8B2">
      <w:pPr>
        <w:spacing w:line="560" w:lineRule="exact"/>
        <w:ind w:firstLine="640" w:firstLineChars="20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14:paraId="7EDEDBF3">
      <w:pPr>
        <w:spacing w:line="560" w:lineRule="exact"/>
        <w:ind w:firstLine="640" w:firstLineChars="200"/>
        <w:rPr>
          <w:rFonts w:eastAsia="仿宋_GB2312"/>
          <w:sz w:val="32"/>
          <w:szCs w:val="32"/>
        </w:rPr>
      </w:pPr>
      <w:r>
        <w:rPr>
          <w:rFonts w:eastAsia="仿宋_GB2312"/>
          <w:sz w:val="32"/>
          <w:szCs w:val="32"/>
        </w:rPr>
        <w:t xml:space="preserve">（一）成本效益分析法。是指将投入与产出、效益进行关联性分析的方法。 </w:t>
      </w:r>
    </w:p>
    <w:p w14:paraId="06CC9E5A">
      <w:pPr>
        <w:spacing w:line="560" w:lineRule="exact"/>
        <w:ind w:firstLine="640" w:firstLineChars="200"/>
        <w:rPr>
          <w:rFonts w:eastAsia="仿宋_GB2312"/>
          <w:sz w:val="32"/>
          <w:szCs w:val="32"/>
        </w:rPr>
      </w:pPr>
      <w:r>
        <w:rPr>
          <w:rFonts w:eastAsia="仿宋_GB2312"/>
          <w:sz w:val="32"/>
          <w:szCs w:val="32"/>
        </w:rPr>
        <w:t>（二）比较法。是指将实施情况与绩效目标、历史情况、不同部门和地区同类支出情况进行比较的方法。</w:t>
      </w:r>
    </w:p>
    <w:p w14:paraId="1D3FFE92">
      <w:pPr>
        <w:spacing w:line="560" w:lineRule="exact"/>
        <w:ind w:firstLine="640" w:firstLineChars="200"/>
        <w:rPr>
          <w:rFonts w:eastAsia="仿宋_GB2312"/>
          <w:sz w:val="32"/>
          <w:szCs w:val="32"/>
        </w:rPr>
      </w:pPr>
      <w:r>
        <w:rPr>
          <w:rFonts w:eastAsia="仿宋_GB2312"/>
          <w:sz w:val="32"/>
          <w:szCs w:val="32"/>
        </w:rPr>
        <w:t>（三）因素分析法。是指综合分析影响绩效目标实现、实施效果的内外部因素的方法。</w:t>
      </w:r>
    </w:p>
    <w:p w14:paraId="12B9C30A">
      <w:pPr>
        <w:spacing w:line="560" w:lineRule="exact"/>
        <w:ind w:firstLine="640" w:firstLineChars="200"/>
        <w:rPr>
          <w:rFonts w:eastAsia="仿宋_GB2312"/>
          <w:sz w:val="32"/>
          <w:szCs w:val="32"/>
        </w:rPr>
      </w:pPr>
      <w:r>
        <w:rPr>
          <w:rFonts w:eastAsia="仿宋_GB2312"/>
          <w:sz w:val="32"/>
          <w:szCs w:val="32"/>
        </w:rPr>
        <w:t>4.评价标准</w:t>
      </w:r>
    </w:p>
    <w:p w14:paraId="4E5A333C">
      <w:pPr>
        <w:spacing w:line="560" w:lineRule="exact"/>
        <w:ind w:firstLine="640" w:firstLineChars="200"/>
        <w:rPr>
          <w:rFonts w:eastAsia="仿宋_GB2312"/>
          <w:sz w:val="32"/>
          <w:szCs w:val="32"/>
        </w:rPr>
      </w:pPr>
      <w:r>
        <w:rPr>
          <w:rFonts w:eastAsia="仿宋_GB2312"/>
          <w:sz w:val="32"/>
          <w:szCs w:val="32"/>
        </w:rPr>
        <w:t>绩效评价标准通常包括计划标准、行业标准、历史标准等，用于对绩效指标完成情况进行比较、分析、评价。本次评价主要采用了</w:t>
      </w:r>
      <w:r>
        <w:rPr>
          <w:rFonts w:hint="eastAsia" w:eastAsia="仿宋_GB2312"/>
          <w:sz w:val="32"/>
          <w:szCs w:val="32"/>
        </w:rPr>
        <w:t>计划</w:t>
      </w:r>
      <w:r>
        <w:rPr>
          <w:rFonts w:eastAsia="仿宋_GB2312"/>
          <w:sz w:val="32"/>
          <w:szCs w:val="32"/>
        </w:rPr>
        <w:t>标准。</w:t>
      </w:r>
    </w:p>
    <w:p w14:paraId="442A763B">
      <w:pPr>
        <w:spacing w:line="560" w:lineRule="exact"/>
        <w:ind w:firstLine="640" w:firstLineChars="200"/>
        <w:rPr>
          <w:rFonts w:eastAsia="仿宋_GB2312"/>
          <w:sz w:val="32"/>
          <w:szCs w:val="32"/>
        </w:rPr>
      </w:pPr>
      <w:r>
        <w:rPr>
          <w:rFonts w:eastAsia="仿宋_GB2312"/>
          <w:sz w:val="32"/>
          <w:szCs w:val="32"/>
        </w:rPr>
        <w:t>计划标准。指以预先制定的目标、计划、预算、定额等作为评价标准。</w:t>
      </w:r>
    </w:p>
    <w:p w14:paraId="171AF2E2">
      <w:pPr>
        <w:pStyle w:val="9"/>
        <w:numPr>
          <w:ilvl w:val="0"/>
          <w:numId w:val="1"/>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6C42E5BB">
      <w:pPr>
        <w:spacing w:line="560" w:lineRule="exact"/>
        <w:ind w:firstLine="640" w:firstLineChars="200"/>
        <w:rPr>
          <w:rFonts w:eastAsia="仿宋_GB2312"/>
          <w:sz w:val="32"/>
          <w:szCs w:val="32"/>
        </w:rPr>
      </w:pPr>
      <w:r>
        <w:rPr>
          <w:rFonts w:eastAsia="仿宋_GB2312"/>
          <w:sz w:val="32"/>
          <w:szCs w:val="32"/>
        </w:rPr>
        <w:t>（1）前期准备与规划</w:t>
      </w:r>
    </w:p>
    <w:p w14:paraId="2D11A570">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在项目绩效评价工作启动之初，成立了专门的评价工作小组，小组成员由财务、项目管理人员及相关领域骨干</w:t>
      </w:r>
      <w:r>
        <w:rPr>
          <w:rFonts w:hint="eastAsia" w:eastAsia="仿宋_GB2312"/>
          <w:sz w:val="32"/>
          <w:szCs w:val="32"/>
        </w:rPr>
        <w:t>成员</w:t>
      </w:r>
      <w:r>
        <w:rPr>
          <w:rFonts w:eastAsia="仿宋_GB2312"/>
          <w:sz w:val="32"/>
          <w:szCs w:val="32"/>
        </w:rPr>
        <w:t>组成，确保从多角度、全方位对项目绩效进行评价。同时，明确了评价工作的目标、范围、重点及时间安排，制定了详细的工作计划，为评价工作的顺利开展奠定了坚实基础。</w:t>
      </w:r>
    </w:p>
    <w:p w14:paraId="14D7D5CE">
      <w:pPr>
        <w:spacing w:line="560" w:lineRule="exact"/>
        <w:ind w:firstLine="640" w:firstLineChars="200"/>
        <w:rPr>
          <w:rFonts w:eastAsia="仿宋_GB2312"/>
          <w:sz w:val="32"/>
          <w:szCs w:val="32"/>
        </w:rPr>
      </w:pPr>
      <w:r>
        <w:rPr>
          <w:rFonts w:eastAsia="仿宋_GB2312"/>
          <w:sz w:val="32"/>
          <w:szCs w:val="32"/>
        </w:rPr>
        <w:t>（2）指标体系构建</w:t>
      </w:r>
    </w:p>
    <w:p w14:paraId="45C2B111">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71395ED9">
      <w:pPr>
        <w:spacing w:line="560" w:lineRule="exact"/>
        <w:ind w:firstLine="640" w:firstLineChars="200"/>
        <w:rPr>
          <w:rFonts w:eastAsia="仿宋_GB2312"/>
          <w:sz w:val="32"/>
          <w:szCs w:val="32"/>
        </w:rPr>
      </w:pPr>
      <w:r>
        <w:rPr>
          <w:rFonts w:eastAsia="仿宋_GB2312"/>
          <w:sz w:val="32"/>
          <w:szCs w:val="32"/>
        </w:rPr>
        <w:t>（3）数据收集与整理</w:t>
      </w:r>
    </w:p>
    <w:p w14:paraId="75A713CE">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434EE1AA">
      <w:pPr>
        <w:spacing w:line="560" w:lineRule="exact"/>
        <w:ind w:firstLine="640" w:firstLineChars="200"/>
        <w:rPr>
          <w:rFonts w:eastAsia="仿宋_GB2312"/>
          <w:sz w:val="32"/>
          <w:szCs w:val="32"/>
        </w:rPr>
      </w:pPr>
      <w:r>
        <w:rPr>
          <w:rFonts w:eastAsia="仿宋_GB2312"/>
          <w:sz w:val="32"/>
          <w:szCs w:val="32"/>
        </w:rPr>
        <w:t>（4）数据分析与评估</w:t>
      </w:r>
    </w:p>
    <w:p w14:paraId="1A3EE681">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FE400BE">
      <w:pPr>
        <w:spacing w:line="560" w:lineRule="exact"/>
        <w:ind w:firstLine="640" w:firstLineChars="200"/>
        <w:rPr>
          <w:rFonts w:eastAsia="仿宋_GB2312"/>
          <w:sz w:val="32"/>
          <w:szCs w:val="32"/>
        </w:rPr>
      </w:pPr>
      <w:r>
        <w:rPr>
          <w:rFonts w:eastAsia="仿宋_GB2312"/>
          <w:sz w:val="32"/>
          <w:szCs w:val="32"/>
        </w:rPr>
        <w:t>（5）报告撰写与反馈</w:t>
      </w:r>
    </w:p>
    <w:p w14:paraId="205899A4">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342C474">
      <w:pPr>
        <w:spacing w:line="560" w:lineRule="exact"/>
        <w:ind w:firstLine="640" w:firstLineChars="200"/>
        <w:rPr>
          <w:rFonts w:eastAsia="仿宋_GB2312"/>
          <w:sz w:val="32"/>
          <w:szCs w:val="32"/>
        </w:rPr>
      </w:pPr>
      <w:r>
        <w:rPr>
          <w:rFonts w:eastAsia="仿宋_GB2312"/>
          <w:sz w:val="32"/>
          <w:szCs w:val="32"/>
        </w:rPr>
        <w:t>（6）后续跟踪与改进</w:t>
      </w:r>
    </w:p>
    <w:p w14:paraId="01224788">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EB6EEAD">
      <w:pPr>
        <w:spacing w:line="560" w:lineRule="exact"/>
        <w:ind w:firstLine="640" w:firstLineChars="200"/>
        <w:rPr>
          <w:rFonts w:eastAsia="黑体"/>
          <w:bCs/>
          <w:sz w:val="32"/>
          <w:szCs w:val="32"/>
        </w:rPr>
      </w:pPr>
      <w:r>
        <w:rPr>
          <w:rFonts w:hint="eastAsia" w:eastAsia="黑体"/>
          <w:bCs/>
          <w:sz w:val="32"/>
          <w:szCs w:val="32"/>
        </w:rPr>
        <w:t>三、</w:t>
      </w:r>
      <w:r>
        <w:rPr>
          <w:rFonts w:eastAsia="黑体"/>
          <w:bCs/>
          <w:sz w:val="32"/>
          <w:szCs w:val="32"/>
        </w:rPr>
        <w:t>综合评价情况及评价结论（附相关评分表）</w:t>
      </w:r>
    </w:p>
    <w:p w14:paraId="1E910C0B">
      <w:pPr>
        <w:pStyle w:val="9"/>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（一）评价情况</w:t>
      </w:r>
    </w:p>
    <w:p w14:paraId="2DCA2FFB">
      <w:pPr>
        <w:spacing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本项目的综合评价基于对项目各方面绩效的深入分析与评估。从项目目标的达成情况来看，2024年城乡义务教育补助经费(公用经费)在产出指标</w:t>
      </w:r>
      <w:r>
        <w:rPr>
          <w:rFonts w:hint="eastAsia" w:eastAsia="仿宋_GB2312"/>
          <w:sz w:val="32"/>
          <w:szCs w:val="32"/>
        </w:rPr>
        <w:t>、成本指标、效益指标、满意度指标</w:t>
      </w:r>
      <w:r>
        <w:rPr>
          <w:rFonts w:eastAsia="仿宋_GB2312"/>
          <w:sz w:val="32"/>
          <w:szCs w:val="32"/>
        </w:rPr>
        <w:t>等方面表现出色，达到了预期的标准与要求。同时，项目也在</w:t>
      </w:r>
      <w:r>
        <w:rPr>
          <w:rFonts w:hint="eastAsia" w:eastAsia="仿宋_GB2312"/>
          <w:sz w:val="32"/>
          <w:szCs w:val="32"/>
        </w:rPr>
        <w:t>教育</w:t>
      </w:r>
      <w:r>
        <w:rPr>
          <w:rFonts w:eastAsia="仿宋_GB2312"/>
          <w:sz w:val="32"/>
          <w:szCs w:val="32"/>
        </w:rPr>
        <w:t>取得了显著的成效，如数量指标</w:t>
      </w:r>
      <w:r>
        <w:rPr>
          <w:rFonts w:hint="eastAsia" w:eastAsia="仿宋_GB2312"/>
          <w:sz w:val="32"/>
          <w:szCs w:val="32"/>
        </w:rPr>
        <w:t>、质量指标、时效指标、经济成本指标、社会效益指标、满意度指标</w:t>
      </w:r>
      <w:r>
        <w:rPr>
          <w:rFonts w:eastAsia="仿宋_GB2312"/>
          <w:sz w:val="32"/>
          <w:szCs w:val="32"/>
        </w:rPr>
        <w:t>等。</w:t>
      </w:r>
    </w:p>
    <w:p w14:paraId="1D02AA50">
      <w:pPr>
        <w:spacing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裕民县哈拉布拉乡中心学校</w:t>
      </w:r>
      <w:r>
        <w:rPr>
          <w:rFonts w:eastAsia="仿宋_GB2312"/>
          <w:sz w:val="32"/>
          <w:szCs w:val="32"/>
        </w:rPr>
        <w:t>通过有效的规划、组织与协调，项目得以顺利实施，并在预算与时间上保持了良好的控制。</w:t>
      </w:r>
    </w:p>
    <w:p w14:paraId="060E2BE2">
      <w:pPr>
        <w:spacing w:line="560" w:lineRule="exact"/>
        <w:ind w:firstLine="640" w:firstLineChars="200"/>
        <w:rPr>
          <w:rFonts w:eastAsia="仿宋_GB2312"/>
          <w:sz w:val="32"/>
          <w:szCs w:val="32"/>
        </w:rPr>
      </w:pPr>
      <w:r>
        <w:rPr>
          <w:rFonts w:eastAsia="仿宋_GB2312"/>
          <w:sz w:val="32"/>
          <w:szCs w:val="32"/>
        </w:rPr>
        <w:t>从项目效益的角度来看，本项目不仅实现了预期的社会效益、等方面产生了积极的影响。具体而言，保障教育教学正常开展方面的提升，为项目的利益相关者带来了实实在在的利益。</w:t>
      </w:r>
    </w:p>
    <w:p w14:paraId="38106383">
      <w:pPr>
        <w:spacing w:line="560" w:lineRule="exact"/>
        <w:ind w:firstLine="640" w:firstLineChars="200"/>
        <w:rPr>
          <w:rFonts w:eastAsia="仿宋_GB2312"/>
          <w:sz w:val="32"/>
          <w:szCs w:val="32"/>
        </w:rPr>
      </w:pPr>
      <w:r>
        <w:rPr>
          <w:rFonts w:eastAsia="仿宋_GB2312"/>
          <w:sz w:val="32"/>
          <w:szCs w:val="32"/>
        </w:rPr>
        <w:t>综上所述，2024年城乡义务教育补助经费(公用经费)在绩效评价中表现出色，达到了项目的预期目标，并在多个方面取得了显著的成效。</w:t>
      </w:r>
    </w:p>
    <w:p w14:paraId="75A0C78B">
      <w:pPr>
        <w:pStyle w:val="9"/>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（二）评价结论</w:t>
      </w:r>
    </w:p>
    <w:p w14:paraId="15D525EE">
      <w:pPr>
        <w:spacing w:line="560" w:lineRule="exact"/>
        <w:ind w:firstLine="640" w:firstLineChars="200"/>
        <w:rPr>
          <w:rFonts w:eastAsia="仿宋_GB2312"/>
          <w:sz w:val="32"/>
          <w:szCs w:val="32"/>
        </w:rPr>
      </w:pPr>
      <w:r>
        <w:rPr>
          <w:rFonts w:eastAsia="仿宋_GB2312"/>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eastAsia="仿宋_GB2312"/>
          <w:sz w:val="32"/>
          <w:szCs w:val="32"/>
        </w:rPr>
        <w:t>100</w:t>
      </w:r>
      <w:r>
        <w:rPr>
          <w:rFonts w:eastAsia="仿宋_GB2312"/>
          <w:sz w:val="32"/>
          <w:szCs w:val="32"/>
        </w:rPr>
        <w:t xml:space="preserve">分，属于“优”。其中，项目决策类指标权重为20分，得分为 </w:t>
      </w:r>
      <w:r>
        <w:rPr>
          <w:rFonts w:hint="eastAsia" w:eastAsia="仿宋_GB2312"/>
          <w:sz w:val="32"/>
          <w:szCs w:val="32"/>
        </w:rPr>
        <w:t>100</w:t>
      </w:r>
      <w:r>
        <w:rPr>
          <w:rFonts w:eastAsia="仿宋_GB2312"/>
          <w:sz w:val="32"/>
          <w:szCs w:val="32"/>
        </w:rPr>
        <w:t>分，得分率为</w:t>
      </w:r>
      <w:r>
        <w:rPr>
          <w:rFonts w:hint="eastAsia" w:eastAsia="仿宋_GB2312"/>
          <w:sz w:val="32"/>
          <w:szCs w:val="32"/>
        </w:rPr>
        <w:t>100</w:t>
      </w:r>
      <w:r>
        <w:rPr>
          <w:rFonts w:eastAsia="仿宋_GB2312"/>
          <w:sz w:val="32"/>
          <w:szCs w:val="32"/>
        </w:rPr>
        <w:t>%。项目过程类指标权重为20分，得分为</w:t>
      </w:r>
      <w:r>
        <w:rPr>
          <w:rFonts w:hint="eastAsia" w:eastAsia="仿宋_GB2312"/>
          <w:sz w:val="32"/>
          <w:szCs w:val="32"/>
        </w:rPr>
        <w:t>20</w:t>
      </w:r>
      <w:r>
        <w:rPr>
          <w:rFonts w:eastAsia="仿宋_GB2312"/>
          <w:sz w:val="32"/>
          <w:szCs w:val="32"/>
        </w:rPr>
        <w:t xml:space="preserve">分，得分率为 </w:t>
      </w:r>
      <w:r>
        <w:rPr>
          <w:rFonts w:hint="eastAsia" w:eastAsia="仿宋_GB2312"/>
          <w:sz w:val="32"/>
          <w:szCs w:val="32"/>
        </w:rPr>
        <w:t>100</w:t>
      </w:r>
      <w:r>
        <w:rPr>
          <w:rFonts w:eastAsia="仿宋_GB2312"/>
          <w:sz w:val="32"/>
          <w:szCs w:val="32"/>
        </w:rPr>
        <w:t>%。项目产出类指标权重为40分，得分为</w:t>
      </w:r>
      <w:r>
        <w:rPr>
          <w:rFonts w:hint="eastAsia" w:eastAsia="仿宋_GB2312"/>
          <w:sz w:val="32"/>
          <w:szCs w:val="32"/>
        </w:rPr>
        <w:t>40</w:t>
      </w:r>
      <w:r>
        <w:rPr>
          <w:rFonts w:eastAsia="仿宋_GB2312"/>
          <w:sz w:val="32"/>
          <w:szCs w:val="32"/>
        </w:rPr>
        <w:t xml:space="preserve">分，得分率为 </w:t>
      </w:r>
      <w:r>
        <w:rPr>
          <w:rFonts w:hint="eastAsia" w:eastAsia="仿宋_GB2312"/>
          <w:sz w:val="32"/>
          <w:szCs w:val="32"/>
        </w:rPr>
        <w:t>100</w:t>
      </w:r>
      <w:r>
        <w:rPr>
          <w:rFonts w:eastAsia="仿宋_GB2312"/>
          <w:sz w:val="32"/>
          <w:szCs w:val="32"/>
        </w:rPr>
        <w:t>%。项目效益类指标权重为20分，得分为</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%。具体打分情况详见：附件1综合评分表。</w:t>
      </w:r>
    </w:p>
    <w:p w14:paraId="644B4AF6">
      <w:pPr>
        <w:pStyle w:val="9"/>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2"/>
        <w:tblW w:w="8759" w:type="dxa"/>
        <w:jc w:val="center"/>
        <w:tblLayout w:type="fixed"/>
        <w:tblCellMar>
          <w:top w:w="0" w:type="dxa"/>
          <w:left w:w="108" w:type="dxa"/>
          <w:bottom w:w="0" w:type="dxa"/>
          <w:right w:w="108" w:type="dxa"/>
        </w:tblCellMar>
      </w:tblPr>
      <w:tblGrid>
        <w:gridCol w:w="2787"/>
        <w:gridCol w:w="1926"/>
        <w:gridCol w:w="2023"/>
        <w:gridCol w:w="2023"/>
      </w:tblGrid>
      <w:tr w14:paraId="178FC290">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02A36B15">
            <w:pPr>
              <w:jc w:val="center"/>
              <w:rPr>
                <w:rFonts w:eastAsia="仿宋_GB2312"/>
                <w:b/>
                <w:bCs/>
                <w:color w:val="000000"/>
                <w:szCs w:val="21"/>
              </w:rPr>
            </w:pPr>
            <w:r>
              <w:rPr>
                <w:rFonts w:eastAsia="仿宋_GB2312"/>
                <w:b/>
                <w:bCs/>
                <w:color w:val="000000"/>
                <w:szCs w:val="21"/>
              </w:rPr>
              <w:t>一级指标</w:t>
            </w:r>
          </w:p>
        </w:tc>
        <w:tc>
          <w:tcPr>
            <w:tcW w:w="1926" w:type="dxa"/>
            <w:tcBorders>
              <w:top w:val="single" w:color="auto" w:sz="4" w:space="0"/>
              <w:left w:val="nil"/>
              <w:bottom w:val="single" w:color="auto" w:sz="4" w:space="0"/>
              <w:right w:val="single" w:color="auto" w:sz="4" w:space="0"/>
            </w:tcBorders>
            <w:shd w:val="clear" w:color="000000" w:fill="BEBEBE"/>
            <w:vAlign w:val="center"/>
          </w:tcPr>
          <w:p w14:paraId="631DD671">
            <w:pPr>
              <w:jc w:val="center"/>
              <w:rPr>
                <w:rFonts w:eastAsia="仿宋_GB2312"/>
                <w:b/>
                <w:bCs/>
                <w:color w:val="000000"/>
                <w:szCs w:val="21"/>
              </w:rPr>
            </w:pPr>
            <w:r>
              <w:rPr>
                <w:rFonts w:eastAsia="仿宋_GB2312"/>
                <w:b/>
                <w:bCs/>
                <w:color w:val="000000"/>
                <w:szCs w:val="21"/>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316F9B11">
            <w:pPr>
              <w:jc w:val="center"/>
              <w:rPr>
                <w:rFonts w:eastAsia="仿宋_GB2312"/>
                <w:b/>
                <w:bCs/>
                <w:color w:val="000000"/>
                <w:szCs w:val="21"/>
              </w:rPr>
            </w:pPr>
            <w:r>
              <w:rPr>
                <w:rFonts w:eastAsia="仿宋_GB2312"/>
                <w:b/>
                <w:bCs/>
                <w:color w:val="000000"/>
                <w:szCs w:val="21"/>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53C2F9C9">
            <w:pPr>
              <w:jc w:val="center"/>
              <w:rPr>
                <w:rFonts w:eastAsia="仿宋_GB2312"/>
                <w:b/>
                <w:bCs/>
                <w:color w:val="000000"/>
                <w:szCs w:val="21"/>
              </w:rPr>
            </w:pPr>
            <w:r>
              <w:rPr>
                <w:rFonts w:hint="eastAsia" w:eastAsia="仿宋_GB2312"/>
                <w:b/>
                <w:bCs/>
                <w:color w:val="000000"/>
                <w:szCs w:val="21"/>
              </w:rPr>
              <w:t>得分率</w:t>
            </w:r>
          </w:p>
        </w:tc>
      </w:tr>
      <w:tr w14:paraId="45871D6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14BE5376">
            <w:pPr>
              <w:jc w:val="center"/>
              <w:rPr>
                <w:rFonts w:eastAsia="仿宋_GB2312"/>
                <w:color w:val="000000"/>
                <w:szCs w:val="21"/>
              </w:rPr>
            </w:pPr>
            <w:r>
              <w:rPr>
                <w:rFonts w:eastAsia="仿宋_GB2312"/>
                <w:color w:val="000000"/>
                <w:szCs w:val="21"/>
              </w:rPr>
              <w:t>项目决策</w:t>
            </w:r>
          </w:p>
        </w:tc>
        <w:tc>
          <w:tcPr>
            <w:tcW w:w="1926" w:type="dxa"/>
            <w:tcBorders>
              <w:top w:val="nil"/>
              <w:left w:val="nil"/>
              <w:bottom w:val="single" w:color="auto" w:sz="4" w:space="0"/>
              <w:right w:val="single" w:color="auto" w:sz="4" w:space="0"/>
            </w:tcBorders>
            <w:vAlign w:val="center"/>
          </w:tcPr>
          <w:p w14:paraId="215F6E44">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vAlign w:val="center"/>
          </w:tcPr>
          <w:p w14:paraId="12D5D3E9">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vAlign w:val="center"/>
          </w:tcPr>
          <w:p w14:paraId="0AD93CC0">
            <w:pPr>
              <w:jc w:val="center"/>
              <w:rPr>
                <w:rFonts w:eastAsia="仿宋_GB2312"/>
                <w:color w:val="000000"/>
                <w:szCs w:val="21"/>
              </w:rPr>
            </w:pPr>
            <w:r>
              <w:rPr>
                <w:rFonts w:hint="eastAsia" w:eastAsia="仿宋_GB2312"/>
                <w:color w:val="000000"/>
                <w:szCs w:val="21"/>
              </w:rPr>
              <w:t>100%</w:t>
            </w:r>
          </w:p>
        </w:tc>
      </w:tr>
      <w:tr w14:paraId="3B32111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44974F68">
            <w:pPr>
              <w:jc w:val="center"/>
              <w:rPr>
                <w:rFonts w:eastAsia="仿宋_GB2312"/>
                <w:color w:val="000000"/>
                <w:szCs w:val="21"/>
              </w:rPr>
            </w:pPr>
            <w:r>
              <w:rPr>
                <w:rFonts w:eastAsia="仿宋_GB2312"/>
                <w:color w:val="000000"/>
                <w:szCs w:val="21"/>
              </w:rPr>
              <w:t>项目过程</w:t>
            </w:r>
          </w:p>
        </w:tc>
        <w:tc>
          <w:tcPr>
            <w:tcW w:w="1926" w:type="dxa"/>
            <w:tcBorders>
              <w:top w:val="nil"/>
              <w:left w:val="nil"/>
              <w:bottom w:val="single" w:color="auto" w:sz="4" w:space="0"/>
              <w:right w:val="single" w:color="auto" w:sz="4" w:space="0"/>
            </w:tcBorders>
            <w:vAlign w:val="center"/>
          </w:tcPr>
          <w:p w14:paraId="00A7E5AE">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vAlign w:val="center"/>
          </w:tcPr>
          <w:p w14:paraId="23FCE6E9">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vAlign w:val="center"/>
          </w:tcPr>
          <w:p w14:paraId="7CF9BC46">
            <w:pPr>
              <w:jc w:val="center"/>
              <w:rPr>
                <w:rFonts w:eastAsia="仿宋_GB2312"/>
                <w:color w:val="000000"/>
                <w:szCs w:val="21"/>
              </w:rPr>
            </w:pPr>
            <w:r>
              <w:rPr>
                <w:rFonts w:hint="eastAsia" w:eastAsia="仿宋_GB2312"/>
                <w:color w:val="000000"/>
                <w:szCs w:val="21"/>
              </w:rPr>
              <w:t>100%</w:t>
            </w:r>
          </w:p>
        </w:tc>
      </w:tr>
      <w:tr w14:paraId="0816B8B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44E2AF67">
            <w:pPr>
              <w:jc w:val="center"/>
              <w:rPr>
                <w:rFonts w:eastAsia="仿宋_GB2312"/>
                <w:color w:val="000000"/>
                <w:szCs w:val="21"/>
              </w:rPr>
            </w:pPr>
            <w:r>
              <w:rPr>
                <w:rFonts w:eastAsia="仿宋_GB2312"/>
                <w:color w:val="000000"/>
                <w:szCs w:val="21"/>
              </w:rPr>
              <w:t>项目产出</w:t>
            </w:r>
          </w:p>
        </w:tc>
        <w:tc>
          <w:tcPr>
            <w:tcW w:w="1926" w:type="dxa"/>
            <w:tcBorders>
              <w:top w:val="nil"/>
              <w:left w:val="nil"/>
              <w:bottom w:val="single" w:color="auto" w:sz="4" w:space="0"/>
              <w:right w:val="single" w:color="auto" w:sz="4" w:space="0"/>
            </w:tcBorders>
            <w:vAlign w:val="center"/>
          </w:tcPr>
          <w:p w14:paraId="204A8AA1">
            <w:pPr>
              <w:jc w:val="center"/>
              <w:rPr>
                <w:rFonts w:eastAsia="仿宋_GB2312"/>
                <w:color w:val="000000"/>
                <w:szCs w:val="21"/>
              </w:rPr>
            </w:pPr>
            <w:r>
              <w:rPr>
                <w:rFonts w:eastAsia="仿宋_GB2312"/>
                <w:color w:val="000000"/>
                <w:szCs w:val="21"/>
              </w:rPr>
              <w:t>40</w:t>
            </w:r>
          </w:p>
        </w:tc>
        <w:tc>
          <w:tcPr>
            <w:tcW w:w="2023" w:type="dxa"/>
            <w:tcBorders>
              <w:top w:val="nil"/>
              <w:left w:val="nil"/>
              <w:bottom w:val="single" w:color="auto" w:sz="4" w:space="0"/>
              <w:right w:val="single" w:color="auto" w:sz="4" w:space="0"/>
            </w:tcBorders>
            <w:vAlign w:val="center"/>
          </w:tcPr>
          <w:p w14:paraId="72A5EB02">
            <w:pPr>
              <w:jc w:val="center"/>
              <w:rPr>
                <w:rFonts w:eastAsia="仿宋_GB2312"/>
                <w:color w:val="000000"/>
                <w:szCs w:val="21"/>
              </w:rPr>
            </w:pPr>
            <w:r>
              <w:rPr>
                <w:rFonts w:eastAsia="仿宋_GB2312"/>
                <w:color w:val="000000"/>
                <w:szCs w:val="21"/>
              </w:rPr>
              <w:t>40</w:t>
            </w:r>
          </w:p>
        </w:tc>
        <w:tc>
          <w:tcPr>
            <w:tcW w:w="2023" w:type="dxa"/>
            <w:tcBorders>
              <w:top w:val="nil"/>
              <w:left w:val="nil"/>
              <w:bottom w:val="single" w:color="auto" w:sz="4" w:space="0"/>
              <w:right w:val="single" w:color="auto" w:sz="4" w:space="0"/>
            </w:tcBorders>
            <w:vAlign w:val="center"/>
          </w:tcPr>
          <w:p w14:paraId="3D3D37B3">
            <w:pPr>
              <w:jc w:val="center"/>
              <w:rPr>
                <w:rFonts w:eastAsia="仿宋_GB2312"/>
                <w:color w:val="000000"/>
                <w:szCs w:val="21"/>
              </w:rPr>
            </w:pPr>
            <w:r>
              <w:rPr>
                <w:rFonts w:hint="eastAsia" w:eastAsia="仿宋_GB2312"/>
                <w:color w:val="000000"/>
                <w:szCs w:val="21"/>
              </w:rPr>
              <w:t>100%</w:t>
            </w:r>
          </w:p>
        </w:tc>
      </w:tr>
      <w:tr w14:paraId="62D896F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60A70376">
            <w:pPr>
              <w:jc w:val="center"/>
              <w:rPr>
                <w:rFonts w:eastAsia="仿宋_GB2312"/>
                <w:color w:val="000000"/>
                <w:szCs w:val="21"/>
              </w:rPr>
            </w:pPr>
            <w:r>
              <w:rPr>
                <w:rFonts w:eastAsia="仿宋_GB2312"/>
                <w:color w:val="000000"/>
                <w:szCs w:val="21"/>
              </w:rPr>
              <w:t>项目效益</w:t>
            </w:r>
          </w:p>
        </w:tc>
        <w:tc>
          <w:tcPr>
            <w:tcW w:w="1926" w:type="dxa"/>
            <w:tcBorders>
              <w:top w:val="nil"/>
              <w:left w:val="nil"/>
              <w:bottom w:val="single" w:color="auto" w:sz="4" w:space="0"/>
              <w:right w:val="single" w:color="auto" w:sz="4" w:space="0"/>
            </w:tcBorders>
            <w:vAlign w:val="center"/>
          </w:tcPr>
          <w:p w14:paraId="36F67BE5">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vAlign w:val="center"/>
          </w:tcPr>
          <w:p w14:paraId="490F0948">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vAlign w:val="center"/>
          </w:tcPr>
          <w:p w14:paraId="06523638">
            <w:pPr>
              <w:jc w:val="center"/>
              <w:rPr>
                <w:rFonts w:eastAsia="仿宋_GB2312"/>
                <w:color w:val="000000"/>
                <w:szCs w:val="21"/>
              </w:rPr>
            </w:pPr>
            <w:r>
              <w:rPr>
                <w:rFonts w:hint="eastAsia" w:eastAsia="仿宋_GB2312"/>
                <w:color w:val="000000"/>
                <w:szCs w:val="21"/>
              </w:rPr>
              <w:t>100%</w:t>
            </w:r>
          </w:p>
        </w:tc>
      </w:tr>
      <w:tr w14:paraId="42DB0E09">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vAlign w:val="center"/>
          </w:tcPr>
          <w:p w14:paraId="42423EA8">
            <w:pPr>
              <w:jc w:val="center"/>
              <w:rPr>
                <w:rFonts w:eastAsia="仿宋_GB2312"/>
                <w:b/>
                <w:bCs/>
                <w:color w:val="000000"/>
                <w:szCs w:val="21"/>
              </w:rPr>
            </w:pPr>
            <w:r>
              <w:rPr>
                <w:rFonts w:eastAsia="仿宋_GB2312"/>
                <w:b/>
                <w:bCs/>
                <w:color w:val="000000"/>
                <w:szCs w:val="21"/>
              </w:rPr>
              <w:t>合计</w:t>
            </w:r>
          </w:p>
        </w:tc>
        <w:tc>
          <w:tcPr>
            <w:tcW w:w="1926" w:type="dxa"/>
            <w:tcBorders>
              <w:top w:val="nil"/>
              <w:left w:val="nil"/>
              <w:bottom w:val="single" w:color="auto" w:sz="4" w:space="0"/>
              <w:right w:val="single" w:color="auto" w:sz="4" w:space="0"/>
            </w:tcBorders>
            <w:vAlign w:val="center"/>
          </w:tcPr>
          <w:p w14:paraId="0AC60024">
            <w:pPr>
              <w:jc w:val="center"/>
              <w:rPr>
                <w:rFonts w:eastAsia="仿宋_GB2312"/>
                <w:b/>
                <w:bCs/>
                <w:color w:val="000000"/>
                <w:szCs w:val="21"/>
              </w:rPr>
            </w:pPr>
            <w:r>
              <w:rPr>
                <w:rFonts w:eastAsia="仿宋_GB2312"/>
                <w:b/>
                <w:bCs/>
                <w:color w:val="000000"/>
                <w:szCs w:val="21"/>
              </w:rPr>
              <w:t>100</w:t>
            </w:r>
          </w:p>
        </w:tc>
        <w:tc>
          <w:tcPr>
            <w:tcW w:w="2023" w:type="dxa"/>
            <w:tcBorders>
              <w:top w:val="nil"/>
              <w:left w:val="nil"/>
              <w:bottom w:val="single" w:color="auto" w:sz="4" w:space="0"/>
              <w:right w:val="single" w:color="auto" w:sz="4" w:space="0"/>
            </w:tcBorders>
            <w:vAlign w:val="center"/>
          </w:tcPr>
          <w:p w14:paraId="3E579571">
            <w:pPr>
              <w:jc w:val="center"/>
              <w:rPr>
                <w:rFonts w:eastAsia="仿宋_GB2312"/>
                <w:b/>
                <w:bCs/>
                <w:color w:val="000000"/>
                <w:szCs w:val="21"/>
              </w:rPr>
            </w:pPr>
            <w:r>
              <w:rPr>
                <w:rFonts w:hint="eastAsia" w:eastAsia="仿宋_GB2312"/>
                <w:b/>
                <w:bCs/>
                <w:color w:val="000000"/>
                <w:szCs w:val="21"/>
              </w:rPr>
              <w:t>100</w:t>
            </w:r>
          </w:p>
        </w:tc>
        <w:tc>
          <w:tcPr>
            <w:tcW w:w="2023" w:type="dxa"/>
            <w:tcBorders>
              <w:top w:val="nil"/>
              <w:left w:val="nil"/>
              <w:bottom w:val="single" w:color="auto" w:sz="4" w:space="0"/>
              <w:right w:val="single" w:color="auto" w:sz="4" w:space="0"/>
            </w:tcBorders>
            <w:vAlign w:val="center"/>
          </w:tcPr>
          <w:p w14:paraId="3EA652EC">
            <w:pPr>
              <w:jc w:val="center"/>
              <w:rPr>
                <w:rFonts w:eastAsia="仿宋_GB2312"/>
                <w:b/>
                <w:bCs/>
                <w:color w:val="000000"/>
                <w:szCs w:val="21"/>
              </w:rPr>
            </w:pPr>
            <w:r>
              <w:rPr>
                <w:rFonts w:hint="eastAsia" w:eastAsia="仿宋_GB2312"/>
                <w:b/>
                <w:bCs/>
                <w:color w:val="000000"/>
                <w:szCs w:val="21"/>
              </w:rPr>
              <w:t>100%</w:t>
            </w:r>
          </w:p>
        </w:tc>
      </w:tr>
    </w:tbl>
    <w:p w14:paraId="2293171A">
      <w:pPr>
        <w:spacing w:line="560" w:lineRule="exact"/>
        <w:ind w:firstLine="640" w:firstLineChars="200"/>
        <w:rPr>
          <w:rFonts w:eastAsia="黑体"/>
          <w:bCs/>
          <w:sz w:val="32"/>
          <w:szCs w:val="32"/>
        </w:rPr>
      </w:pPr>
      <w:r>
        <w:rPr>
          <w:rFonts w:eastAsia="黑体"/>
          <w:sz w:val="32"/>
          <w:szCs w:val="32"/>
        </w:rPr>
        <w:t>四</w:t>
      </w:r>
      <w:r>
        <w:rPr>
          <w:rFonts w:eastAsia="黑体"/>
          <w:bCs/>
          <w:sz w:val="32"/>
          <w:szCs w:val="32"/>
        </w:rPr>
        <w:t>、绩效评价指标分析</w:t>
      </w:r>
    </w:p>
    <w:p w14:paraId="73AD45D7">
      <w:pPr>
        <w:pStyle w:val="9"/>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（一）项目决策情况</w:t>
      </w:r>
    </w:p>
    <w:p w14:paraId="2A7E5770">
      <w:pPr>
        <w:spacing w:line="560" w:lineRule="exact"/>
        <w:ind w:firstLine="640" w:firstLineChars="200"/>
        <w:rPr>
          <w:rFonts w:eastAsia="仿宋_GB2312"/>
          <w:sz w:val="32"/>
          <w:szCs w:val="32"/>
        </w:rPr>
      </w:pPr>
      <w:r>
        <w:rPr>
          <w:rFonts w:eastAsia="仿宋_GB2312"/>
          <w:sz w:val="32"/>
          <w:szCs w:val="32"/>
        </w:rPr>
        <w:t>项目决策类指标包括项目立项、绩效目标和资金投入三方面的内容，由</w:t>
      </w:r>
      <w:r>
        <w:rPr>
          <w:rFonts w:hint="eastAsia" w:eastAsia="仿宋_GB2312"/>
          <w:sz w:val="32"/>
          <w:szCs w:val="32"/>
        </w:rPr>
        <w:t>6</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15F69124">
      <w:pPr>
        <w:pStyle w:val="20"/>
        <w:spacing w:line="560" w:lineRule="exact"/>
        <w:ind w:firstLine="640"/>
        <w:rPr>
          <w:rFonts w:eastAsia="仿宋_GB2312"/>
          <w:b/>
          <w:bCs/>
          <w:sz w:val="32"/>
          <w:szCs w:val="32"/>
        </w:rPr>
      </w:pPr>
      <w:r>
        <w:rPr>
          <w:rFonts w:eastAsia="仿宋_GB2312"/>
          <w:b/>
          <w:bCs/>
          <w:sz w:val="32"/>
          <w:szCs w:val="32"/>
        </w:rPr>
        <w:t>1.项目立项</w:t>
      </w:r>
    </w:p>
    <w:p w14:paraId="5376DBCD">
      <w:pPr>
        <w:spacing w:line="560" w:lineRule="exact"/>
        <w:ind w:firstLine="640" w:firstLineChars="200"/>
        <w:rPr>
          <w:rFonts w:eastAsia="仿宋_GB2312"/>
          <w:sz w:val="32"/>
          <w:szCs w:val="32"/>
        </w:rPr>
      </w:pPr>
      <w:r>
        <w:rPr>
          <w:rFonts w:eastAsia="仿宋_GB2312"/>
          <w:sz w:val="32"/>
          <w:szCs w:val="32"/>
        </w:rPr>
        <w:t>（1）立项依据充分性</w:t>
      </w:r>
    </w:p>
    <w:p w14:paraId="6C25BAC2">
      <w:pPr>
        <w:spacing w:line="560" w:lineRule="exact"/>
        <w:ind w:firstLine="640" w:firstLineChars="200"/>
        <w:rPr>
          <w:rFonts w:eastAsia="仿宋_GB2312"/>
          <w:sz w:val="32"/>
          <w:szCs w:val="32"/>
        </w:rPr>
      </w:pPr>
      <w:r>
        <w:rPr>
          <w:rFonts w:eastAsia="仿宋_GB2312"/>
          <w:sz w:val="32"/>
          <w:szCs w:val="32"/>
        </w:rPr>
        <w:t>该项目立项符合</w:t>
      </w:r>
      <w:r>
        <w:rPr>
          <w:rFonts w:hint="eastAsia" w:eastAsia="仿宋_GB2312"/>
          <w:sz w:val="32"/>
          <w:szCs w:val="32"/>
        </w:rPr>
        <w:t>城乡义务教育补助经费管理办法</w:t>
      </w:r>
      <w:r>
        <w:rPr>
          <w:rFonts w:eastAsia="仿宋_GB2312"/>
          <w:sz w:val="32"/>
          <w:szCs w:val="32"/>
        </w:rPr>
        <w:t>及发展政策，符合行业规划要求，围绕本年度工作重点和工作计划制定经费预算，属于公共财政支持范围。本项目与部门内部其他相关项目不重复。部门发展规划及职能文件等归档完整。</w:t>
      </w:r>
    </w:p>
    <w:p w14:paraId="60B92F36">
      <w:pPr>
        <w:spacing w:line="560" w:lineRule="exact"/>
        <w:ind w:firstLine="640" w:firstLineChars="200"/>
        <w:rPr>
          <w:rFonts w:eastAsia="仿宋_GB2312"/>
          <w:sz w:val="32"/>
          <w:szCs w:val="32"/>
        </w:rPr>
      </w:pPr>
      <w:r>
        <w:rPr>
          <w:rFonts w:eastAsia="仿宋_GB2312"/>
          <w:sz w:val="32"/>
          <w:szCs w:val="32"/>
        </w:rPr>
        <w:t>（2）立项程序规范性</w:t>
      </w:r>
    </w:p>
    <w:p w14:paraId="05268735">
      <w:pPr>
        <w:spacing w:line="560" w:lineRule="exact"/>
        <w:ind w:firstLine="640" w:firstLineChars="200"/>
        <w:rPr>
          <w:rFonts w:eastAsia="仿宋_GB2312"/>
          <w:sz w:val="32"/>
          <w:szCs w:val="32"/>
        </w:rPr>
      </w:pPr>
      <w:r>
        <w:rPr>
          <w:rFonts w:eastAsia="仿宋_GB2312"/>
          <w:sz w:val="32"/>
          <w:szCs w:val="32"/>
        </w:rPr>
        <w:t>项目申请、设立过程符合相关要求，严格按照审批流程准备符合要求的文件、材料；根据</w:t>
      </w:r>
      <w:r>
        <w:rPr>
          <w:rFonts w:hint="eastAsia" w:eastAsia="仿宋_GB2312"/>
          <w:sz w:val="32"/>
          <w:szCs w:val="32"/>
        </w:rPr>
        <w:t>2024年</w:t>
      </w:r>
      <w:r>
        <w:rPr>
          <w:rFonts w:eastAsia="仿宋_GB2312"/>
          <w:sz w:val="32"/>
          <w:szCs w:val="32"/>
        </w:rPr>
        <w:t>决算</w:t>
      </w:r>
      <w:r>
        <w:rPr>
          <w:rFonts w:hint="eastAsia" w:eastAsia="仿宋_GB2312"/>
          <w:sz w:val="32"/>
          <w:szCs w:val="32"/>
        </w:rPr>
        <w:t>为</w:t>
      </w:r>
      <w:r>
        <w:rPr>
          <w:rFonts w:eastAsia="仿宋_GB2312"/>
          <w:sz w:val="32"/>
          <w:szCs w:val="32"/>
        </w:rPr>
        <w:t>依据</w:t>
      </w:r>
      <w:r>
        <w:rPr>
          <w:rFonts w:hint="eastAsia" w:eastAsia="仿宋_GB2312"/>
          <w:sz w:val="32"/>
          <w:szCs w:val="32"/>
        </w:rPr>
        <w:t>的</w:t>
      </w:r>
      <w:r>
        <w:rPr>
          <w:rFonts w:eastAsia="仿宋_GB2312"/>
          <w:sz w:val="32"/>
          <w:szCs w:val="32"/>
        </w:rPr>
        <w:t>经费预</w:t>
      </w:r>
      <w:r>
        <w:rPr>
          <w:rFonts w:hint="eastAsia" w:eastAsia="仿宋_GB2312"/>
          <w:sz w:val="32"/>
          <w:szCs w:val="32"/>
        </w:rPr>
        <w:t>决</w:t>
      </w:r>
      <w:r>
        <w:rPr>
          <w:rFonts w:eastAsia="仿宋_GB2312"/>
          <w:sz w:val="32"/>
          <w:szCs w:val="32"/>
        </w:rPr>
        <w:t>算，经过与部门项目分管领导沟通、筛选确定经费预算计划，确定最终预算方案。项目的审批文件、材料符合相关要求，项目事前经过必要的风险评估、绩效评估、集体决策，保障了程序的规范性。</w:t>
      </w:r>
    </w:p>
    <w:p w14:paraId="1AA5E7C4">
      <w:pPr>
        <w:pStyle w:val="20"/>
        <w:spacing w:line="560" w:lineRule="exact"/>
        <w:ind w:firstLine="640"/>
        <w:rPr>
          <w:rFonts w:eastAsia="仿宋_GB2312"/>
          <w:b/>
          <w:bCs/>
          <w:sz w:val="32"/>
          <w:szCs w:val="32"/>
        </w:rPr>
      </w:pPr>
      <w:r>
        <w:rPr>
          <w:rFonts w:eastAsia="仿宋_GB2312"/>
          <w:b/>
          <w:bCs/>
          <w:sz w:val="32"/>
          <w:szCs w:val="32"/>
        </w:rPr>
        <w:t>2.绩效目标</w:t>
      </w:r>
    </w:p>
    <w:p w14:paraId="63C3DACC">
      <w:pPr>
        <w:spacing w:line="560" w:lineRule="exact"/>
        <w:ind w:firstLine="640" w:firstLineChars="200"/>
        <w:rPr>
          <w:rFonts w:eastAsia="仿宋_GB2312"/>
          <w:sz w:val="32"/>
          <w:szCs w:val="32"/>
        </w:rPr>
      </w:pPr>
      <w:r>
        <w:rPr>
          <w:rFonts w:eastAsia="仿宋_GB2312"/>
          <w:sz w:val="32"/>
          <w:szCs w:val="32"/>
        </w:rPr>
        <w:t>（1）绩效目标合理性</w:t>
      </w:r>
    </w:p>
    <w:p w14:paraId="398C7BF4">
      <w:pPr>
        <w:spacing w:line="560" w:lineRule="exact"/>
        <w:ind w:firstLine="640" w:firstLineChars="20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62D5FBE">
      <w:pPr>
        <w:spacing w:line="560" w:lineRule="exact"/>
        <w:ind w:firstLine="640" w:firstLineChars="200"/>
        <w:rPr>
          <w:rFonts w:eastAsia="仿宋_GB2312"/>
          <w:sz w:val="32"/>
          <w:szCs w:val="32"/>
        </w:rPr>
      </w:pPr>
      <w:r>
        <w:rPr>
          <w:rFonts w:eastAsia="仿宋_GB2312"/>
          <w:sz w:val="32"/>
          <w:szCs w:val="32"/>
        </w:rPr>
        <w:t>（2）绩效指标明确性</w:t>
      </w:r>
    </w:p>
    <w:p w14:paraId="5F55A9F1">
      <w:pPr>
        <w:spacing w:line="560" w:lineRule="exact"/>
        <w:ind w:firstLine="640" w:firstLineChars="20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0555CC7A">
      <w:pPr>
        <w:pStyle w:val="20"/>
        <w:spacing w:line="560" w:lineRule="exact"/>
        <w:ind w:firstLine="640"/>
        <w:rPr>
          <w:rFonts w:eastAsia="仿宋_GB2312"/>
          <w:b/>
          <w:bCs/>
          <w:sz w:val="32"/>
          <w:szCs w:val="32"/>
        </w:rPr>
      </w:pPr>
      <w:r>
        <w:rPr>
          <w:rFonts w:eastAsia="仿宋_GB2312"/>
          <w:b/>
          <w:bCs/>
          <w:sz w:val="32"/>
          <w:szCs w:val="32"/>
        </w:rPr>
        <w:t>3.资金投入</w:t>
      </w:r>
    </w:p>
    <w:p w14:paraId="3441BE45">
      <w:pPr>
        <w:spacing w:line="560" w:lineRule="exact"/>
        <w:ind w:firstLine="640" w:firstLineChars="200"/>
        <w:rPr>
          <w:rFonts w:eastAsia="仿宋_GB2312"/>
          <w:sz w:val="32"/>
          <w:szCs w:val="32"/>
        </w:rPr>
      </w:pPr>
      <w:r>
        <w:rPr>
          <w:rFonts w:eastAsia="仿宋_GB2312"/>
          <w:sz w:val="32"/>
          <w:szCs w:val="32"/>
        </w:rPr>
        <w:t>（1）预算编制科学性</w:t>
      </w:r>
    </w:p>
    <w:p w14:paraId="5AB3B6E2">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0114BC9">
      <w:pPr>
        <w:spacing w:line="560" w:lineRule="exact"/>
        <w:ind w:firstLine="640" w:firstLineChars="20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40C2743">
      <w:pPr>
        <w:spacing w:line="560" w:lineRule="exact"/>
        <w:ind w:firstLine="640" w:firstLineChars="200"/>
        <w:rPr>
          <w:rFonts w:eastAsia="仿宋_GB2312"/>
          <w:sz w:val="32"/>
          <w:szCs w:val="32"/>
        </w:rPr>
      </w:pPr>
      <w:r>
        <w:rPr>
          <w:rFonts w:eastAsia="仿宋_GB2312"/>
          <w:sz w:val="32"/>
          <w:szCs w:val="32"/>
        </w:rPr>
        <w:t>（2）资金分配合理性</w:t>
      </w:r>
    </w:p>
    <w:p w14:paraId="44B2B240">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352D013E">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A57A5A0">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59FF95A">
      <w:pPr>
        <w:pStyle w:val="9"/>
        <w:numPr>
          <w:ilvl w:val="0"/>
          <w:numId w:val="2"/>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14:paraId="7C23BB32">
      <w:pPr>
        <w:spacing w:line="560" w:lineRule="exact"/>
        <w:ind w:firstLine="640" w:firstLineChars="20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20</w:t>
      </w:r>
      <w:r>
        <w:rPr>
          <w:rFonts w:eastAsia="仿宋_GB2312"/>
          <w:sz w:val="32"/>
          <w:szCs w:val="32"/>
        </w:rPr>
        <w:t>%。</w:t>
      </w:r>
    </w:p>
    <w:p w14:paraId="6812426D">
      <w:pPr>
        <w:pStyle w:val="20"/>
        <w:spacing w:line="560" w:lineRule="exact"/>
        <w:ind w:firstLine="640"/>
        <w:rPr>
          <w:rFonts w:eastAsia="仿宋_GB2312"/>
          <w:b/>
          <w:bCs/>
          <w:sz w:val="32"/>
          <w:szCs w:val="32"/>
        </w:rPr>
      </w:pPr>
      <w:r>
        <w:rPr>
          <w:rFonts w:eastAsia="仿宋_GB2312"/>
          <w:b/>
          <w:bCs/>
          <w:sz w:val="32"/>
          <w:szCs w:val="32"/>
        </w:rPr>
        <w:t>1.资金管理</w:t>
      </w:r>
    </w:p>
    <w:p w14:paraId="7DD82B75">
      <w:pPr>
        <w:spacing w:line="560" w:lineRule="exact"/>
        <w:ind w:firstLine="640" w:firstLineChars="200"/>
        <w:rPr>
          <w:rFonts w:eastAsia="仿宋_GB2312"/>
          <w:sz w:val="32"/>
          <w:szCs w:val="32"/>
        </w:rPr>
      </w:pPr>
      <w:r>
        <w:rPr>
          <w:rFonts w:eastAsia="仿宋_GB2312"/>
          <w:sz w:val="32"/>
          <w:szCs w:val="32"/>
        </w:rPr>
        <w:t>（1）资金到位率</w:t>
      </w:r>
    </w:p>
    <w:p w14:paraId="1ED7438B">
      <w:pPr>
        <w:spacing w:line="56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rPr>
        <w:t>17.52</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37649F6A">
      <w:pPr>
        <w:spacing w:line="560" w:lineRule="exact"/>
        <w:ind w:firstLine="640" w:firstLineChars="200"/>
        <w:rPr>
          <w:rFonts w:eastAsia="仿宋_GB2312"/>
          <w:sz w:val="32"/>
          <w:szCs w:val="32"/>
        </w:rPr>
      </w:pPr>
      <w:r>
        <w:rPr>
          <w:rFonts w:eastAsia="仿宋_GB2312"/>
          <w:sz w:val="32"/>
          <w:szCs w:val="32"/>
        </w:rPr>
        <w:t>（2）预算执行率</w:t>
      </w:r>
    </w:p>
    <w:p w14:paraId="0BBF074B">
      <w:pPr>
        <w:spacing w:line="560" w:lineRule="exact"/>
        <w:ind w:firstLine="640" w:firstLineChars="20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17.52</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14:paraId="785C3138">
      <w:pPr>
        <w:spacing w:line="560" w:lineRule="exact"/>
        <w:ind w:firstLine="640" w:firstLineChars="200"/>
        <w:rPr>
          <w:rFonts w:eastAsia="仿宋_GB2312"/>
          <w:sz w:val="32"/>
          <w:szCs w:val="32"/>
        </w:rPr>
      </w:pPr>
      <w:r>
        <w:rPr>
          <w:rFonts w:eastAsia="仿宋_GB2312"/>
          <w:sz w:val="32"/>
          <w:szCs w:val="32"/>
        </w:rPr>
        <w:t>（3）资金使用合规性</w:t>
      </w:r>
    </w:p>
    <w:p w14:paraId="441E6F91">
      <w:pPr>
        <w:spacing w:line="560" w:lineRule="exact"/>
        <w:ind w:firstLine="640" w:firstLineChars="200"/>
        <w:rPr>
          <w:rFonts w:eastAsia="仿宋_GB2312"/>
          <w:sz w:val="32"/>
          <w:szCs w:val="32"/>
        </w:rPr>
      </w:pPr>
      <w:r>
        <w:rPr>
          <w:rFonts w:eastAsia="仿宋_GB2312"/>
          <w:sz w:val="32"/>
          <w:szCs w:val="32"/>
        </w:rPr>
        <w:t>本项目的资金使用严格遵制</w:t>
      </w:r>
      <w:r>
        <w:rPr>
          <w:rFonts w:hint="eastAsia" w:eastAsia="仿宋_GB2312"/>
          <w:sz w:val="32"/>
          <w:szCs w:val="32"/>
        </w:rPr>
        <w:t>财政部 教育部关于印发《城乡义务教育补助经费管理办法》的通知</w:t>
      </w:r>
      <w:r>
        <w:rPr>
          <w:rFonts w:eastAsia="仿宋_GB2312"/>
          <w:sz w:val="32"/>
          <w:szCs w:val="32"/>
        </w:rPr>
        <w:t>确保了资金的合规性与安全性。在资金使用过程中，我们建立了完善的财务管理体系，对资金的流动进行了全程监控与记录。</w:t>
      </w:r>
    </w:p>
    <w:p w14:paraId="0C4495D7">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29AA273">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3CA8C09">
      <w:pPr>
        <w:pStyle w:val="20"/>
        <w:spacing w:line="560" w:lineRule="exact"/>
        <w:ind w:firstLine="640"/>
        <w:rPr>
          <w:rFonts w:eastAsia="仿宋_GB2312"/>
          <w:b/>
          <w:bCs/>
          <w:sz w:val="32"/>
          <w:szCs w:val="32"/>
        </w:rPr>
      </w:pPr>
      <w:r>
        <w:rPr>
          <w:rFonts w:eastAsia="仿宋_GB2312"/>
          <w:b/>
          <w:bCs/>
          <w:sz w:val="32"/>
          <w:szCs w:val="32"/>
        </w:rPr>
        <w:t>2.组织实施</w:t>
      </w:r>
    </w:p>
    <w:p w14:paraId="423C3F91">
      <w:pPr>
        <w:spacing w:line="600" w:lineRule="exact"/>
        <w:ind w:firstLine="640" w:firstLineChars="200"/>
        <w:outlineLvl w:val="0"/>
        <w:rPr>
          <w:rFonts w:eastAsia="仿宋_GB2312"/>
          <w:sz w:val="32"/>
          <w:szCs w:val="32"/>
        </w:rPr>
      </w:pPr>
      <w:r>
        <w:rPr>
          <w:rFonts w:eastAsia="仿宋_GB2312"/>
          <w:sz w:val="32"/>
          <w:szCs w:val="32"/>
        </w:rPr>
        <w:t>（1）管理制度健全性</w:t>
      </w:r>
    </w:p>
    <w:p w14:paraId="26056E3D">
      <w:pPr>
        <w:spacing w:line="600" w:lineRule="exact"/>
        <w:ind w:firstLine="640" w:firstLineChars="200"/>
        <w:outlineLvl w:val="0"/>
        <w:rPr>
          <w:rFonts w:eastAsia="仿宋_GB2312"/>
          <w:sz w:val="32"/>
          <w:szCs w:val="32"/>
        </w:rPr>
      </w:pPr>
      <w:r>
        <w:rPr>
          <w:rFonts w:eastAsia="仿宋_GB2312"/>
          <w:sz w:val="32"/>
          <w:szCs w:val="32"/>
        </w:rPr>
        <w:t>本项目拥有一套完善、健全的管理制度体系</w:t>
      </w:r>
      <w:r>
        <w:rPr>
          <w:rFonts w:hint="eastAsia" w:eastAsia="仿宋_GB2312"/>
          <w:sz w:val="32"/>
          <w:szCs w:val="32"/>
        </w:rPr>
        <w:t>城乡义务教育补助经费管理办法</w:t>
      </w:r>
      <w:r>
        <w:rPr>
          <w:rFonts w:eastAsia="仿宋_GB2312"/>
          <w:sz w:val="32"/>
          <w:szCs w:val="32"/>
        </w:rPr>
        <w:t>，为项目的成功实施提供了坚实的制度保障。项目管理制度的制定紧密结合了项目的特点与实际情况，涵盖了项目的策划、组织、实施、监控与收尾等各个环节。</w:t>
      </w:r>
    </w:p>
    <w:p w14:paraId="62606E13">
      <w:pPr>
        <w:spacing w:line="600" w:lineRule="exact"/>
        <w:ind w:firstLine="640" w:firstLineChars="200"/>
        <w:outlineLvl w:val="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40AF750A">
      <w:pPr>
        <w:spacing w:line="600" w:lineRule="exact"/>
        <w:ind w:firstLine="640" w:firstLineChars="200"/>
        <w:outlineLvl w:val="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80BA75A">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62680959">
      <w:pPr>
        <w:spacing w:line="600" w:lineRule="exact"/>
        <w:ind w:firstLine="640" w:firstLineChars="200"/>
        <w:outlineLvl w:val="0"/>
        <w:rPr>
          <w:rFonts w:eastAsia="仿宋_GB2312"/>
          <w:sz w:val="32"/>
          <w:szCs w:val="32"/>
        </w:rPr>
      </w:pPr>
      <w:r>
        <w:rPr>
          <w:rFonts w:eastAsia="仿宋_GB2312"/>
          <w:sz w:val="32"/>
          <w:szCs w:val="32"/>
        </w:rPr>
        <w:t>（2）制度执行有效性</w:t>
      </w:r>
    </w:p>
    <w:p w14:paraId="48776BBC">
      <w:pPr>
        <w:spacing w:line="600" w:lineRule="exact"/>
        <w:ind w:firstLine="640" w:firstLineChars="200"/>
        <w:outlineLvl w:val="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65145B7D">
      <w:pPr>
        <w:spacing w:line="600" w:lineRule="exact"/>
        <w:ind w:firstLine="640" w:firstLineChars="200"/>
        <w:outlineLvl w:val="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0991A8DE">
      <w:pPr>
        <w:spacing w:line="600" w:lineRule="exact"/>
        <w:ind w:firstLine="640" w:firstLineChars="200"/>
        <w:outlineLvl w:val="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4A46E5FF">
      <w:pPr>
        <w:pStyle w:val="9"/>
        <w:numPr>
          <w:ilvl w:val="0"/>
          <w:numId w:val="2"/>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项目产出情况</w:t>
      </w:r>
    </w:p>
    <w:p w14:paraId="41002ABC">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5</w:t>
      </w:r>
      <w:r>
        <w:rPr>
          <w:rFonts w:eastAsia="仿宋_GB2312"/>
          <w:sz w:val="32"/>
          <w:szCs w:val="32"/>
        </w:rPr>
        <w:t>个三级指标构成，权重分为</w:t>
      </w:r>
      <w:r>
        <w:rPr>
          <w:rFonts w:hint="eastAsia" w:eastAsia="仿宋_GB2312"/>
          <w:sz w:val="32"/>
          <w:szCs w:val="32"/>
        </w:rPr>
        <w:t>2</w:t>
      </w:r>
      <w:r>
        <w:rPr>
          <w:rFonts w:eastAsia="仿宋_GB2312"/>
          <w:sz w:val="32"/>
          <w:szCs w:val="32"/>
        </w:rPr>
        <w:t>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254A6A2E">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3A8F979A">
      <w:pPr>
        <w:spacing w:line="600" w:lineRule="exact"/>
        <w:ind w:firstLine="640" w:firstLineChars="200"/>
        <w:outlineLvl w:val="0"/>
        <w:rPr>
          <w:rFonts w:eastAsia="仿宋_GB2312"/>
          <w:sz w:val="32"/>
          <w:szCs w:val="32"/>
        </w:rPr>
      </w:pPr>
      <w:r>
        <w:rPr>
          <w:rFonts w:eastAsia="仿宋_GB2312"/>
          <w:sz w:val="32"/>
          <w:szCs w:val="32"/>
        </w:rPr>
        <w:t>指标1：义务教育在校生，指标值：=188人，实际完成值：188人，指标完成率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6A62EBBA">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5069B019">
      <w:pPr>
        <w:spacing w:line="600" w:lineRule="exact"/>
        <w:ind w:firstLine="640" w:firstLineChars="200"/>
        <w:outlineLvl w:val="0"/>
        <w:rPr>
          <w:rFonts w:eastAsia="仿宋_GB2312"/>
          <w:sz w:val="32"/>
          <w:szCs w:val="32"/>
        </w:rPr>
      </w:pPr>
      <w:r>
        <w:rPr>
          <w:rFonts w:hint="eastAsia" w:eastAsia="仿宋_GB2312"/>
          <w:sz w:val="32"/>
          <w:szCs w:val="32"/>
        </w:rPr>
        <w:t>指标1：义务教育学生覆盖率，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51C5EC1F">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5D357B68">
      <w:pPr>
        <w:spacing w:line="600" w:lineRule="exact"/>
        <w:ind w:firstLine="640" w:firstLineChars="200"/>
        <w:outlineLvl w:val="0"/>
        <w:rPr>
          <w:rFonts w:eastAsia="仿宋_GB2312"/>
          <w:sz w:val="32"/>
          <w:szCs w:val="32"/>
        </w:rPr>
      </w:pPr>
      <w:r>
        <w:rPr>
          <w:rFonts w:eastAsia="仿宋_GB2312"/>
          <w:sz w:val="32"/>
          <w:szCs w:val="32"/>
        </w:rPr>
        <w:t>指标1：义务教育在校生，指标值：=资助资金支付及时率</w:t>
      </w:r>
      <w:r>
        <w:rPr>
          <w:rFonts w:hint="eastAsia" w:eastAsia="仿宋_GB2312"/>
          <w:sz w:val="32"/>
          <w:szCs w:val="32"/>
        </w:rPr>
        <w:t>%</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7773ECF5">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2BA577F5">
      <w:pPr>
        <w:spacing w:line="600" w:lineRule="exact"/>
        <w:ind w:firstLine="640" w:firstLineChars="200"/>
        <w:outlineLvl w:val="0"/>
        <w:rPr>
          <w:rFonts w:eastAsia="仿宋_GB2312"/>
          <w:sz w:val="32"/>
          <w:szCs w:val="32"/>
        </w:rPr>
      </w:pPr>
      <w:r>
        <w:rPr>
          <w:rFonts w:eastAsia="仿宋_GB2312"/>
          <w:sz w:val="32"/>
          <w:szCs w:val="32"/>
        </w:rPr>
        <w:t>指标1：公用经费补助标准，指标值：=720元/人/年，实际完成值：=720元/人/年，指标完成率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78044D26">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：取暖费补助标准，指标值：180元/人/年，实际完成值：=180元/人/年，指标完成率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640A7EAC">
      <w:pPr>
        <w:pStyle w:val="9"/>
        <w:numPr>
          <w:ilvl w:val="0"/>
          <w:numId w:val="2"/>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项目效益情况</w:t>
      </w:r>
    </w:p>
    <w:p w14:paraId="0E7EBC24">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3</w:t>
      </w:r>
      <w:r>
        <w:rPr>
          <w:rFonts w:eastAsia="仿宋_GB2312"/>
          <w:sz w:val="32"/>
          <w:szCs w:val="32"/>
        </w:rPr>
        <w:t>个三级指标构成，权重分为</w:t>
      </w:r>
      <w:r>
        <w:rPr>
          <w:rFonts w:hint="eastAsia" w:eastAsia="仿宋_GB2312"/>
          <w:sz w:val="32"/>
          <w:szCs w:val="32"/>
        </w:rPr>
        <w:t>30</w:t>
      </w:r>
      <w:r>
        <w:rPr>
          <w:rFonts w:eastAsia="仿宋_GB2312"/>
          <w:sz w:val="32"/>
          <w:szCs w:val="32"/>
        </w:rPr>
        <w:t>分，实际得分</w:t>
      </w:r>
      <w:r>
        <w:rPr>
          <w:rFonts w:hint="eastAsia" w:eastAsia="仿宋_GB2312"/>
          <w:sz w:val="32"/>
          <w:szCs w:val="32"/>
        </w:rPr>
        <w:t>30</w:t>
      </w:r>
      <w:r>
        <w:rPr>
          <w:rFonts w:eastAsia="仿宋_GB2312"/>
          <w:sz w:val="32"/>
          <w:szCs w:val="32"/>
        </w:rPr>
        <w:t>分，得分率为</w:t>
      </w:r>
      <w:r>
        <w:rPr>
          <w:rFonts w:hint="eastAsia" w:eastAsia="仿宋_GB2312"/>
          <w:sz w:val="32"/>
          <w:szCs w:val="32"/>
        </w:rPr>
        <w:t>30</w:t>
      </w:r>
      <w:r>
        <w:rPr>
          <w:rFonts w:eastAsia="仿宋_GB2312"/>
          <w:sz w:val="32"/>
          <w:szCs w:val="32"/>
        </w:rPr>
        <w:t>%。具体效益指标及满意度指标完成情况如下：</w:t>
      </w:r>
    </w:p>
    <w:p w14:paraId="57E6C05F">
      <w:pPr>
        <w:spacing w:line="600" w:lineRule="exact"/>
        <w:ind w:firstLine="640" w:firstLineChars="200"/>
        <w:outlineLvl w:val="0"/>
        <w:rPr>
          <w:rFonts w:eastAsia="仿宋_GB2312"/>
          <w:sz w:val="32"/>
          <w:szCs w:val="32"/>
        </w:rPr>
      </w:pPr>
      <w:r>
        <w:rPr>
          <w:rFonts w:eastAsia="仿宋_GB2312"/>
          <w:sz w:val="32"/>
          <w:szCs w:val="32"/>
        </w:rPr>
        <w:t>1.实施效益</w:t>
      </w:r>
    </w:p>
    <w:p w14:paraId="2192512A">
      <w:pPr>
        <w:spacing w:line="600" w:lineRule="exact"/>
        <w:ind w:firstLine="640" w:firstLineChars="200"/>
        <w:outlineLvl w:val="0"/>
        <w:rPr>
          <w:rFonts w:eastAsia="仿宋_GB2312"/>
          <w:sz w:val="32"/>
          <w:szCs w:val="32"/>
        </w:rPr>
      </w:pPr>
      <w:r>
        <w:rPr>
          <w:rFonts w:eastAsia="仿宋_GB2312"/>
          <w:sz w:val="32"/>
          <w:szCs w:val="32"/>
        </w:rPr>
        <w:t>社会效益指标：</w:t>
      </w:r>
      <w:r>
        <w:rPr>
          <w:rFonts w:hint="eastAsia" w:eastAsia="仿宋_GB2312"/>
          <w:sz w:val="32"/>
          <w:szCs w:val="32"/>
        </w:rPr>
        <w:t>指标值：</w:t>
      </w:r>
      <w:r>
        <w:rPr>
          <w:rFonts w:eastAsia="仿宋_GB2312"/>
          <w:sz w:val="32"/>
          <w:szCs w:val="32"/>
        </w:rPr>
        <w:t>保障教育教学正常开展</w:t>
      </w:r>
      <w:r>
        <w:rPr>
          <w:rFonts w:hint="eastAsia" w:eastAsia="仿宋_GB2312"/>
          <w:sz w:val="32"/>
          <w:szCs w:val="32"/>
        </w:rPr>
        <w:t>，</w:t>
      </w:r>
      <w:r>
        <w:rPr>
          <w:rFonts w:eastAsia="仿宋_GB2312"/>
          <w:sz w:val="32"/>
          <w:szCs w:val="32"/>
        </w:rPr>
        <w:t>实际完成值：有效保障</w:t>
      </w:r>
      <w:r>
        <w:rPr>
          <w:rFonts w:hint="eastAsia" w:eastAsia="仿宋_GB2312"/>
          <w:sz w:val="32"/>
          <w:szCs w:val="32"/>
        </w:rPr>
        <w:t>，</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01DC33D6">
      <w:pPr>
        <w:spacing w:line="600" w:lineRule="exact"/>
        <w:ind w:firstLine="640" w:firstLineChars="200"/>
        <w:outlineLvl w:val="0"/>
        <w:rPr>
          <w:rFonts w:eastAsia="仿宋_GB2312"/>
          <w:sz w:val="32"/>
          <w:szCs w:val="32"/>
        </w:rPr>
      </w:pPr>
      <w:r>
        <w:rPr>
          <w:rFonts w:eastAsia="仿宋_GB2312"/>
          <w:sz w:val="32"/>
          <w:szCs w:val="32"/>
        </w:rPr>
        <w:t>2.满意度</w:t>
      </w:r>
    </w:p>
    <w:p w14:paraId="0B4FB592">
      <w:pPr>
        <w:spacing w:line="600" w:lineRule="exact"/>
        <w:ind w:firstLine="640" w:firstLineChars="200"/>
        <w:outlineLvl w:val="0"/>
        <w:rPr>
          <w:rFonts w:eastAsia="仿宋_GB2312"/>
          <w:sz w:val="32"/>
          <w:szCs w:val="32"/>
        </w:rPr>
      </w:pPr>
      <w:r>
        <w:rPr>
          <w:rFonts w:eastAsia="仿宋_GB2312"/>
          <w:sz w:val="32"/>
          <w:szCs w:val="32"/>
        </w:rPr>
        <w:t>①教师满意度</w:t>
      </w:r>
    </w:p>
    <w:p w14:paraId="5AC552A4">
      <w:pPr>
        <w:spacing w:line="600" w:lineRule="exact"/>
        <w:ind w:firstLine="640" w:firstLineChars="200"/>
        <w:outlineLvl w:val="0"/>
        <w:rPr>
          <w:rFonts w:eastAsia="仿宋_GB2312"/>
          <w:sz w:val="32"/>
          <w:szCs w:val="32"/>
        </w:rPr>
      </w:pPr>
      <w:r>
        <w:rPr>
          <w:rFonts w:hint="eastAsia" w:eastAsia="仿宋_GB2312"/>
          <w:sz w:val="32"/>
          <w:szCs w:val="32"/>
        </w:rPr>
        <w:t>指标值：</w:t>
      </w:r>
      <w:r>
        <w:rPr>
          <w:rFonts w:eastAsia="仿宋_GB2312"/>
          <w:sz w:val="32"/>
          <w:szCs w:val="32"/>
        </w:rPr>
        <w:t>&gt;=95%</w:t>
      </w:r>
      <w:r>
        <w:rPr>
          <w:rFonts w:hint="eastAsia" w:eastAsia="仿宋_GB2312"/>
          <w:sz w:val="32"/>
          <w:szCs w:val="32"/>
        </w:rPr>
        <w:t>，</w:t>
      </w:r>
      <w:r>
        <w:rPr>
          <w:rFonts w:eastAsia="仿宋_GB2312"/>
          <w:sz w:val="32"/>
          <w:szCs w:val="32"/>
        </w:rPr>
        <w:t>实际完成值：95%</w:t>
      </w:r>
      <w:r>
        <w:rPr>
          <w:rFonts w:hint="eastAsia" w:eastAsia="仿宋_GB2312"/>
          <w:sz w:val="32"/>
          <w:szCs w:val="32"/>
        </w:rPr>
        <w:t>，</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122B998F">
      <w:pPr>
        <w:spacing w:line="600" w:lineRule="exact"/>
        <w:ind w:firstLine="640" w:firstLineChars="200"/>
        <w:outlineLvl w:val="0"/>
        <w:rPr>
          <w:rFonts w:eastAsia="仿宋_GB2312"/>
          <w:sz w:val="32"/>
          <w:szCs w:val="32"/>
        </w:rPr>
      </w:pPr>
      <w:r>
        <w:rPr>
          <w:rFonts w:eastAsia="仿宋_GB2312"/>
          <w:sz w:val="32"/>
          <w:szCs w:val="32"/>
        </w:rPr>
        <w:t>②家长满意度</w:t>
      </w:r>
    </w:p>
    <w:p w14:paraId="3F399657">
      <w:pPr>
        <w:spacing w:line="600" w:lineRule="exact"/>
        <w:ind w:firstLine="640" w:firstLineChars="200"/>
        <w:outlineLvl w:val="0"/>
        <w:rPr>
          <w:rFonts w:ascii="Calibri" w:hAnsi="Calibri" w:eastAsia="仿宋_GB2312" w:cs="Calibri"/>
          <w:sz w:val="32"/>
          <w:szCs w:val="32"/>
        </w:rPr>
      </w:pPr>
      <w:r>
        <w:rPr>
          <w:rFonts w:hint="eastAsia" w:eastAsia="仿宋_GB2312"/>
          <w:sz w:val="32"/>
          <w:szCs w:val="32"/>
        </w:rPr>
        <w:t>指标值：</w:t>
      </w:r>
      <w:r>
        <w:rPr>
          <w:rFonts w:eastAsia="仿宋_GB2312"/>
          <w:sz w:val="32"/>
          <w:szCs w:val="32"/>
        </w:rPr>
        <w:t>&gt;=95%</w:t>
      </w:r>
      <w:r>
        <w:rPr>
          <w:rFonts w:hint="eastAsia" w:eastAsia="仿宋_GB2312"/>
          <w:sz w:val="32"/>
          <w:szCs w:val="32"/>
        </w:rPr>
        <w:t>，</w:t>
      </w:r>
      <w:r>
        <w:rPr>
          <w:rFonts w:eastAsia="仿宋_GB2312"/>
          <w:sz w:val="32"/>
          <w:szCs w:val="32"/>
        </w:rPr>
        <w:t>实际完成值：95%</w:t>
      </w:r>
      <w:r>
        <w:rPr>
          <w:rFonts w:hint="eastAsia" w:eastAsia="仿宋_GB2312"/>
          <w:sz w:val="32"/>
          <w:szCs w:val="32"/>
        </w:rPr>
        <w:t>，</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4F456032">
      <w:pPr>
        <w:pStyle w:val="9"/>
        <w:spacing w:before="0" w:after="0" w:line="560" w:lineRule="exact"/>
        <w:ind w:firstLine="321" w:firstLineChars="100"/>
        <w:jc w:val="both"/>
        <w:rPr>
          <w:rFonts w:ascii="Times New Roman" w:hAnsi="Times New Roman" w:eastAsia="楷体"/>
        </w:rPr>
      </w:pPr>
      <w:r>
        <w:rPr>
          <w:rFonts w:ascii="Times New Roman" w:hAnsi="Times New Roman" w:eastAsia="楷体"/>
        </w:rPr>
        <w:t>（五）预算执行进度与绩效指标总体完成率偏差</w:t>
      </w:r>
    </w:p>
    <w:p w14:paraId="627E4568">
      <w:pPr>
        <w:spacing w:line="600" w:lineRule="exact"/>
        <w:ind w:firstLine="640" w:firstLineChars="200"/>
        <w:outlineLvl w:val="0"/>
        <w:rPr>
          <w:rFonts w:eastAsia="仿宋_GB2312"/>
          <w:sz w:val="32"/>
          <w:szCs w:val="32"/>
        </w:rPr>
      </w:pPr>
      <w:r>
        <w:rPr>
          <w:rFonts w:eastAsia="仿宋_GB2312"/>
          <w:sz w:val="32"/>
          <w:szCs w:val="32"/>
        </w:rPr>
        <w:t>2024年城乡义务教育补助经费(公用经费)项目年初预算</w:t>
      </w:r>
      <w:r>
        <w:rPr>
          <w:rFonts w:hint="eastAsia" w:eastAsia="仿宋_GB2312"/>
          <w:sz w:val="32"/>
          <w:szCs w:val="32"/>
        </w:rPr>
        <w:t>17.61</w:t>
      </w:r>
      <w:r>
        <w:rPr>
          <w:rFonts w:eastAsia="仿宋_GB2312"/>
          <w:sz w:val="32"/>
          <w:szCs w:val="32"/>
        </w:rPr>
        <w:t>万元，全年预算</w:t>
      </w:r>
      <w:r>
        <w:rPr>
          <w:rFonts w:hint="eastAsia" w:eastAsia="仿宋_GB2312"/>
          <w:sz w:val="32"/>
          <w:szCs w:val="32"/>
        </w:rPr>
        <w:t>17.52</w:t>
      </w:r>
      <w:r>
        <w:rPr>
          <w:rFonts w:eastAsia="仿宋_GB2312"/>
          <w:sz w:val="32"/>
          <w:szCs w:val="32"/>
        </w:rPr>
        <w:t>万元，实际支出</w:t>
      </w:r>
      <w:r>
        <w:rPr>
          <w:rFonts w:hint="eastAsia" w:eastAsia="仿宋_GB2312"/>
          <w:sz w:val="32"/>
          <w:szCs w:val="32"/>
        </w:rPr>
        <w:t>17.52</w:t>
      </w:r>
      <w:r>
        <w:rPr>
          <w:rFonts w:eastAsia="仿宋_GB2312"/>
          <w:sz w:val="32"/>
          <w:szCs w:val="32"/>
        </w:rPr>
        <w:t>万元，预算执行率为</w:t>
      </w:r>
      <w:r>
        <w:rPr>
          <w:rFonts w:hint="eastAsia" w:eastAsia="仿宋_GB2312"/>
          <w:sz w:val="32"/>
          <w:szCs w:val="32"/>
        </w:rPr>
        <w:t>100</w:t>
      </w:r>
      <w:r>
        <w:rPr>
          <w:rFonts w:eastAsia="仿宋_GB2312"/>
          <w:sz w:val="32"/>
          <w:szCs w:val="32"/>
        </w:rPr>
        <w:t>%，项目绩效指标总体完成率为</w:t>
      </w:r>
      <w:r>
        <w:rPr>
          <w:rFonts w:hint="eastAsia" w:eastAsia="仿宋_GB2312"/>
          <w:sz w:val="32"/>
          <w:szCs w:val="32"/>
        </w:rPr>
        <w:t>100</w:t>
      </w:r>
      <w:r>
        <w:rPr>
          <w:rFonts w:eastAsia="仿宋_GB2312"/>
          <w:sz w:val="32"/>
          <w:szCs w:val="32"/>
        </w:rPr>
        <w:t>%，总体偏差率为</w:t>
      </w:r>
      <w:r>
        <w:rPr>
          <w:rFonts w:hint="eastAsia" w:eastAsia="仿宋_GB2312"/>
          <w:sz w:val="32"/>
          <w:szCs w:val="32"/>
        </w:rPr>
        <w:t>0</w:t>
      </w:r>
      <w:r>
        <w:rPr>
          <w:rFonts w:eastAsia="仿宋_GB2312"/>
          <w:sz w:val="32"/>
          <w:szCs w:val="32"/>
        </w:rPr>
        <w:t>%。</w:t>
      </w:r>
    </w:p>
    <w:p w14:paraId="139A26C9">
      <w:pPr>
        <w:spacing w:line="560" w:lineRule="exact"/>
        <w:ind w:firstLine="640" w:firstLineChars="200"/>
        <w:rPr>
          <w:rFonts w:eastAsia="黑体"/>
          <w:bCs/>
          <w:sz w:val="32"/>
          <w:szCs w:val="32"/>
        </w:rPr>
      </w:pPr>
      <w:r>
        <w:rPr>
          <w:rFonts w:hint="eastAsia" w:eastAsia="黑体"/>
          <w:bCs/>
          <w:sz w:val="32"/>
          <w:szCs w:val="32"/>
        </w:rPr>
        <w:t>五、</w:t>
      </w:r>
      <w:r>
        <w:rPr>
          <w:rFonts w:eastAsia="黑体"/>
          <w:bCs/>
          <w:sz w:val="32"/>
          <w:szCs w:val="32"/>
        </w:rPr>
        <w:t>主要经验及做法、存在的问题及原因分析</w:t>
      </w:r>
    </w:p>
    <w:p w14:paraId="65919B76">
      <w:pPr>
        <w:spacing w:line="560" w:lineRule="exact"/>
        <w:ind w:firstLine="643" w:firstLineChars="200"/>
        <w:rPr>
          <w:rFonts w:eastAsia="楷体"/>
          <w:b/>
          <w:bCs/>
          <w:kern w:val="28"/>
          <w:sz w:val="32"/>
          <w:szCs w:val="32"/>
        </w:rPr>
      </w:pPr>
      <w:r>
        <w:rPr>
          <w:rFonts w:eastAsia="楷体"/>
          <w:b/>
          <w:bCs/>
          <w:kern w:val="28"/>
          <w:sz w:val="32"/>
          <w:szCs w:val="32"/>
        </w:rPr>
        <w:t>（一）主要经验及做法</w:t>
      </w:r>
    </w:p>
    <w:p w14:paraId="51306098">
      <w:pPr>
        <w:spacing w:line="600" w:lineRule="exact"/>
        <w:ind w:firstLine="640" w:firstLineChars="200"/>
        <w:outlineLvl w:val="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14:paraId="0CB98DE5">
      <w:pPr>
        <w:spacing w:line="600" w:lineRule="exact"/>
        <w:ind w:firstLine="640" w:firstLineChars="200"/>
        <w:outlineLvl w:val="0"/>
        <w:rPr>
          <w:rFonts w:eastAsia="仿宋_GB2312"/>
          <w:sz w:val="32"/>
          <w:szCs w:val="32"/>
        </w:rPr>
      </w:pPr>
      <w:r>
        <w:rPr>
          <w:rFonts w:eastAsia="仿宋_GB2312"/>
          <w:sz w:val="32"/>
          <w:szCs w:val="32"/>
        </w:rPr>
        <w:t>严格坚持先做事、后验收、再拨付的原则，</w:t>
      </w:r>
      <w:r>
        <w:rPr>
          <w:rFonts w:hint="eastAsia" w:eastAsia="仿宋_GB2312"/>
          <w:sz w:val="32"/>
          <w:szCs w:val="32"/>
        </w:rPr>
        <w:t>杜绝</w:t>
      </w:r>
      <w:r>
        <w:rPr>
          <w:rFonts w:eastAsia="仿宋_GB2312"/>
          <w:sz w:val="32"/>
          <w:szCs w:val="3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6ADD740">
      <w:pPr>
        <w:spacing w:line="560" w:lineRule="exact"/>
        <w:ind w:firstLine="643" w:firstLineChars="200"/>
        <w:rPr>
          <w:rFonts w:eastAsia="楷体"/>
          <w:b/>
          <w:bCs/>
          <w:kern w:val="28"/>
          <w:sz w:val="32"/>
          <w:szCs w:val="32"/>
        </w:rPr>
      </w:pPr>
      <w:r>
        <w:rPr>
          <w:rFonts w:hint="eastAsia" w:eastAsia="楷体"/>
          <w:b/>
          <w:bCs/>
          <w:kern w:val="28"/>
          <w:sz w:val="32"/>
          <w:szCs w:val="32"/>
        </w:rPr>
        <w:t>（二）</w:t>
      </w:r>
      <w:r>
        <w:rPr>
          <w:rFonts w:eastAsia="楷体"/>
          <w:b/>
          <w:bCs/>
          <w:kern w:val="28"/>
          <w:sz w:val="32"/>
          <w:szCs w:val="32"/>
        </w:rPr>
        <w:t>存在的问题及原因分析</w:t>
      </w:r>
    </w:p>
    <w:p w14:paraId="535D1421">
      <w:pPr>
        <w:spacing w:line="600" w:lineRule="exact"/>
        <w:ind w:firstLine="640" w:firstLineChars="200"/>
        <w:outlineLvl w:val="0"/>
        <w:rPr>
          <w:rFonts w:eastAsia="仿宋_GB2312"/>
          <w:sz w:val="32"/>
          <w:szCs w:val="32"/>
        </w:rPr>
      </w:pPr>
      <w:r>
        <w:rPr>
          <w:rFonts w:eastAsia="仿宋_GB2312"/>
          <w:sz w:val="32"/>
          <w:szCs w:val="32"/>
        </w:rPr>
        <w:t>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p>
    <w:p w14:paraId="3D14BD26">
      <w:pPr>
        <w:spacing w:line="560" w:lineRule="exact"/>
        <w:ind w:firstLine="640" w:firstLineChars="200"/>
        <w:rPr>
          <w:rFonts w:eastAsia="黑体"/>
          <w:bCs/>
          <w:sz w:val="32"/>
          <w:szCs w:val="32"/>
        </w:rPr>
      </w:pPr>
      <w:r>
        <w:rPr>
          <w:rFonts w:hint="eastAsia" w:eastAsia="黑体"/>
          <w:bCs/>
          <w:sz w:val="32"/>
          <w:szCs w:val="32"/>
        </w:rPr>
        <w:t>六、</w:t>
      </w:r>
      <w:r>
        <w:rPr>
          <w:rFonts w:eastAsia="黑体"/>
          <w:bCs/>
          <w:sz w:val="32"/>
          <w:szCs w:val="32"/>
        </w:rPr>
        <w:t>有关建议</w:t>
      </w:r>
    </w:p>
    <w:p w14:paraId="4BE955CF">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w:t>
      </w:r>
    </w:p>
    <w:p w14:paraId="447CEEF2">
      <w:pPr>
        <w:spacing w:line="600" w:lineRule="exact"/>
        <w:ind w:firstLine="640" w:firstLineChars="200"/>
        <w:outlineLvl w:val="0"/>
        <w:rPr>
          <w:rFonts w:eastAsia="仿宋_GB2312"/>
          <w:sz w:val="32"/>
          <w:szCs w:val="32"/>
        </w:rPr>
      </w:pPr>
      <w:r>
        <w:rPr>
          <w:rFonts w:hint="eastAsia" w:eastAsia="仿宋_GB2312"/>
          <w:sz w:val="32"/>
          <w:szCs w:val="32"/>
        </w:rPr>
        <w:t>2</w:t>
      </w:r>
      <w:r>
        <w:rPr>
          <w:rFonts w:eastAsia="仿宋_GB2312"/>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EEC7AB6">
      <w:pPr>
        <w:spacing w:line="560" w:lineRule="exact"/>
        <w:ind w:firstLine="640" w:firstLineChars="200"/>
        <w:rPr>
          <w:rFonts w:eastAsia="黑体"/>
          <w:bCs/>
          <w:sz w:val="32"/>
          <w:szCs w:val="32"/>
        </w:rPr>
      </w:pPr>
      <w:r>
        <w:rPr>
          <w:rFonts w:hint="eastAsia" w:eastAsia="黑体"/>
          <w:bCs/>
          <w:sz w:val="32"/>
          <w:szCs w:val="32"/>
        </w:rPr>
        <w:t>七、</w:t>
      </w:r>
      <w:r>
        <w:rPr>
          <w:rFonts w:eastAsia="黑体"/>
          <w:bCs/>
          <w:sz w:val="32"/>
          <w:szCs w:val="32"/>
        </w:rPr>
        <w:t>其他需要说</w:t>
      </w:r>
      <w:bookmarkStart w:id="0" w:name="page8"/>
      <w:bookmarkEnd w:id="0"/>
      <w:r>
        <w:rPr>
          <w:rFonts w:eastAsia="黑体"/>
          <w:bCs/>
          <w:sz w:val="32"/>
          <w:szCs w:val="32"/>
        </w:rPr>
        <w:t>明的问题</w:t>
      </w:r>
    </w:p>
    <w:p w14:paraId="57157C00">
      <w:pPr>
        <w:pStyle w:val="11"/>
        <w:spacing w:after="0" w:line="560" w:lineRule="exact"/>
        <w:ind w:left="0" w:leftChars="0" w:firstLine="640"/>
        <w:rPr>
          <w:rFonts w:hint="eastAsia"/>
        </w:rPr>
      </w:pPr>
      <w:r>
        <w:rPr>
          <w:rFonts w:ascii="Times New Roman" w:hAnsi="Times New Roman" w:eastAsia="仿宋_GB2312"/>
          <w:sz w:val="32"/>
          <w:szCs w:val="32"/>
        </w:rPr>
        <w:t>本项目无其他需说明的问题</w:t>
      </w:r>
    </w:p>
    <w:sectPr>
      <w:footerReference r:id="rId5" w:type="default"/>
      <w:pgSz w:w="11906" w:h="16838"/>
      <w:pgMar w:top="1440" w:right="1558"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78A869-8E1F-478B-A4C5-C007E34F1B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08D1C68-E11B-4AC3-A1EC-DF72C4B5278E}"/>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E5164E5D-0427-43E1-9137-CF400A6FC193}"/>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4" w:fontKey="{14856DB5-E8DF-42F4-8AFF-235F1375F3FF}"/>
  </w:font>
  <w:font w:name="方正小标宋_GBK">
    <w:panose1 w:val="02000000000000000000"/>
    <w:charset w:val="86"/>
    <w:family w:val="script"/>
    <w:pitch w:val="default"/>
    <w:sig w:usb0="A00002BF" w:usb1="38CF7CFA" w:usb2="00082016" w:usb3="00000000" w:csb0="00040001" w:csb1="00000000"/>
    <w:embedRegular r:id="rId5" w:fontKey="{BD91D80B-BAFF-4418-B639-87722F808143}"/>
  </w:font>
  <w:font w:name="楷体">
    <w:panose1 w:val="02010609060101010101"/>
    <w:charset w:val="86"/>
    <w:family w:val="modern"/>
    <w:pitch w:val="default"/>
    <w:sig w:usb0="800002BF" w:usb1="38CF7CFA" w:usb2="00000016" w:usb3="00000000" w:csb0="00040001" w:csb1="00000000"/>
    <w:embedRegular r:id="rId6" w:fontKey="{86AD81C8-8615-4FFA-8700-E3377E999262}"/>
  </w:font>
  <w:font w:name="楷体_GB2312">
    <w:altName w:val="楷体"/>
    <w:panose1 w:val="02010609030101010101"/>
    <w:charset w:val="86"/>
    <w:family w:val="modern"/>
    <w:pitch w:val="default"/>
    <w:sig w:usb0="00000000" w:usb1="00000000" w:usb2="00000000" w:usb3="00000000" w:csb0="00040000" w:csb1="00000000"/>
    <w:embedRegular r:id="rId7" w:fontKey="{B42F0806-A7E2-4417-9E12-40465423A7B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79FED54">
        <w:pPr>
          <w:pStyle w:val="6"/>
          <w:jc w:val="center"/>
        </w:pPr>
        <w:r>
          <w:fldChar w:fldCharType="begin"/>
        </w:r>
        <w:r>
          <w:instrText xml:space="preserve">PAGE   \* MERGEFORMAT</w:instrText>
        </w:r>
        <w:r>
          <w:fldChar w:fldCharType="separate"/>
        </w:r>
        <w:r>
          <w:rPr>
            <w:lang w:val="zh-CN"/>
          </w:rPr>
          <w:t>13</w:t>
        </w:r>
        <w:r>
          <w:fldChar w:fldCharType="end"/>
        </w:r>
      </w:p>
    </w:sdtContent>
  </w:sdt>
  <w:p w14:paraId="03910158">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suff w:val="nothing"/>
      <w:lvlText w:val="（%1）"/>
      <w:lvlJc w:val="left"/>
      <w:rPr>
        <w:rFonts w:hint="eastAsia"/>
      </w:rPr>
    </w:lvl>
  </w:abstractNum>
  <w:abstractNum w:abstractNumId="1">
    <w:nsid w:val="0053208E"/>
    <w:multiLevelType w:val="singleLevel"/>
    <w:tmpl w:val="0053208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NotTrackMove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18C84D1F"/>
    <w:rsid w:val="404F203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0" w:afterAutospacing="1"/>
      <w:jc w:val="left"/>
    </w:pPr>
    <w:rPr>
      <w:kern w:val="0"/>
      <w:sz w:val="24"/>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eyJoZGlkIjoiZjRmOGZkZWRmODY2YWYzZDFhODc0N2UyNzJiZDllYjIiLCJ1c2VySWQiOiIxNTcxODI2NDE5In0=</vt:lpwstr>
  </property>
</Properties>
</file>

<file path=customXml/itemProps1.xml><?xml version="1.0" encoding="utf-8"?>
<ds:datastoreItem xmlns:ds="http://schemas.openxmlformats.org/officeDocument/2006/customXml" ds:itemID="{7cedff20-eb3f-4df2-baff-3a2c14e6351a}">
  <ds:schemaRefs/>
</ds:datastoreItem>
</file>

<file path=docProps/app.xml><?xml version="1.0" encoding="utf-8"?>
<Properties xmlns="http://schemas.openxmlformats.org/officeDocument/2006/extended-properties" xmlns:vt="http://schemas.openxmlformats.org/officeDocument/2006/docPropsVTypes">
  <Template>Normal</Template>
  <Pages>25</Pages>
  <Words>7494</Words>
  <Characters>7789</Characters>
  <Lines>557</Lines>
  <Paragraphs>404</Paragraphs>
  <TotalTime>1</TotalTime>
  <ScaleCrop>false</ScaleCrop>
  <LinksUpToDate>false</LinksUpToDate>
  <CharactersWithSpaces>7801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周丽君</cp:lastModifiedBy>
  <dcterms:modified xsi:type="dcterms:W3CDTF">2025-11-07T04:34:54Z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A075C2AEC1C54D1693797747003CB0A9_13</vt:lpwstr>
  </property>
  <property fmtid="{D5CDD505-2E9C-101B-9397-08002B2CF9AE}" pid="4" name="KSOTemplateDocerSaveRecord">
    <vt:lpwstr>eyJoZGlkIjoiMjEwMjVmNmU3OTQwZDBjNjI0ZTM3MTBmNDI0OGIzYzIiLCJ1c2VySWQiOiIyMDM3MTI1NTkifQ==</vt:lpwstr>
  </property>
</Properties>
</file>